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D3D" w:rsidRPr="00666A7E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 w:rsidRPr="00666A7E">
        <w:rPr>
          <w:b/>
          <w:sz w:val="24"/>
          <w:szCs w:val="24"/>
          <w:lang w:eastAsia="pt-BR"/>
        </w:rPr>
        <w:t>DECISÃO MONOCRÁTICA. PENAL</w:t>
      </w:r>
      <w:r w:rsidR="00745D3D" w:rsidRPr="00666A7E">
        <w:rPr>
          <w:b/>
          <w:sz w:val="24"/>
          <w:szCs w:val="24"/>
          <w:lang w:eastAsia="pt-BR"/>
        </w:rPr>
        <w:t xml:space="preserve">. PROCESSUAL PENAL. AGRAVO EM EXECUÇÃO. </w:t>
      </w:r>
      <w:r w:rsidR="005405F5" w:rsidRPr="00666A7E">
        <w:rPr>
          <w:b/>
          <w:sz w:val="24"/>
          <w:szCs w:val="24"/>
          <w:lang w:eastAsia="pt-BR"/>
        </w:rPr>
        <w:t>PERDA SUPERVENIENTE DO OBJETO RECURSAL</w:t>
      </w:r>
      <w:r w:rsidR="00666A7E" w:rsidRPr="00666A7E">
        <w:rPr>
          <w:b/>
          <w:sz w:val="24"/>
          <w:szCs w:val="24"/>
          <w:lang w:eastAsia="pt-BR"/>
        </w:rPr>
        <w:t>. RECURSO NÃO CONHECIDO</w:t>
      </w:r>
      <w:r w:rsidR="005405F5" w:rsidRPr="00666A7E">
        <w:rPr>
          <w:b/>
          <w:sz w:val="24"/>
          <w:szCs w:val="24"/>
          <w:lang w:eastAsia="pt-BR"/>
        </w:rPr>
        <w:t>.</w:t>
      </w:r>
    </w:p>
    <w:p w:rsidR="005405F5" w:rsidRPr="00666A7E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 w:rsidRPr="00666A7E">
        <w:rPr>
          <w:b/>
          <w:sz w:val="24"/>
          <w:szCs w:val="24"/>
          <w:lang w:eastAsia="pt-BR"/>
        </w:rPr>
        <w:t>1.</w:t>
      </w:r>
      <w:r w:rsidR="00666A7E" w:rsidRPr="00666A7E">
        <w:rPr>
          <w:b/>
          <w:sz w:val="24"/>
          <w:szCs w:val="24"/>
          <w:lang w:eastAsia="pt-BR"/>
        </w:rPr>
        <w:t xml:space="preserve"> A posterior prática de ato processual pretendido em agravo em execução penal consubstancia perda superveniente do objeto recursal</w:t>
      </w:r>
      <w:r w:rsidR="005405F5" w:rsidRPr="00666A7E">
        <w:rPr>
          <w:b/>
          <w:sz w:val="24"/>
          <w:szCs w:val="24"/>
          <w:lang w:eastAsia="pt-BR"/>
        </w:rPr>
        <w:t>.</w:t>
      </w:r>
    </w:p>
    <w:p w:rsidR="005405F5" w:rsidRDefault="005405F5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 w:rsidRPr="00666A7E">
        <w:rPr>
          <w:b/>
          <w:sz w:val="24"/>
          <w:szCs w:val="24"/>
          <w:lang w:eastAsia="pt-BR"/>
        </w:rPr>
        <w:t xml:space="preserve">2. </w:t>
      </w:r>
      <w:r w:rsidR="00666A7E" w:rsidRPr="00666A7E">
        <w:rPr>
          <w:b/>
          <w:sz w:val="24"/>
          <w:szCs w:val="24"/>
          <w:lang w:eastAsia="pt-BR"/>
        </w:rPr>
        <w:t>Recurso não conhecido</w:t>
      </w:r>
      <w:r w:rsidRPr="00666A7E">
        <w:rPr>
          <w:b/>
          <w:sz w:val="24"/>
          <w:szCs w:val="24"/>
          <w:lang w:eastAsia="pt-BR"/>
        </w:rPr>
        <w:t>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</w:p>
    <w:p w:rsidR="00A4563A" w:rsidRPr="00816FAE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816FAE">
        <w:rPr>
          <w:b/>
          <w:sz w:val="24"/>
          <w:szCs w:val="24"/>
          <w:lang w:eastAsia="pt-BR"/>
        </w:rPr>
        <w:t>I – RELATÓRIO</w:t>
      </w:r>
    </w:p>
    <w:p w:rsidR="003D773D" w:rsidRDefault="00A4563A" w:rsidP="003D773D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Cuida-se de</w:t>
      </w:r>
      <w:r w:rsidR="00745D3D">
        <w:rPr>
          <w:sz w:val="24"/>
          <w:szCs w:val="24"/>
          <w:lang w:eastAsia="pt-BR"/>
        </w:rPr>
        <w:t xml:space="preserve"> agravo</w:t>
      </w:r>
      <w:r w:rsidR="002E4070">
        <w:rPr>
          <w:sz w:val="24"/>
          <w:szCs w:val="24"/>
          <w:lang w:eastAsia="pt-BR"/>
        </w:rPr>
        <w:t xml:space="preserve"> em execução penal interposto pelo Ministério Público do Estado do Paraná em face de Cristina Moraes, tendo como objeto decisão proferida pelo juízo da Vara de Execuções Penais, Medidas Alternativas e Corregedoria dos Presídios de Curitiba, que indeferiu reque</w:t>
      </w:r>
      <w:r w:rsidR="003D773D">
        <w:rPr>
          <w:sz w:val="24"/>
          <w:szCs w:val="24"/>
          <w:lang w:eastAsia="pt-BR"/>
        </w:rPr>
        <w:t>rimento de intimação por edital, porquanto não localizado o apenado para ser intimado a dar cumprimento à execução da pena (evento 104.1 – SEEU).</w:t>
      </w:r>
    </w:p>
    <w:p w:rsidR="003D773D" w:rsidRDefault="003D773D" w:rsidP="003D773D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Entretanto, após a interposição do recurso, sobreveio expedição de edital para a finalidade pretendia pelo </w:t>
      </w:r>
      <w:r w:rsidRPr="003D773D">
        <w:rPr>
          <w:i/>
          <w:sz w:val="24"/>
          <w:szCs w:val="24"/>
          <w:lang w:eastAsia="pt-BR"/>
        </w:rPr>
        <w:t>Parquet</w:t>
      </w:r>
      <w:r w:rsidR="00666A7E">
        <w:rPr>
          <w:i/>
          <w:sz w:val="24"/>
          <w:szCs w:val="24"/>
          <w:lang w:eastAsia="pt-BR"/>
        </w:rPr>
        <w:t xml:space="preserve"> </w:t>
      </w:r>
      <w:r w:rsidR="00666A7E">
        <w:rPr>
          <w:sz w:val="24"/>
          <w:szCs w:val="24"/>
          <w:lang w:eastAsia="pt-BR"/>
        </w:rPr>
        <w:t>(evento 142.1 – SEEU), que se manifestou pelo não seguimento do recurso (evento 37.1).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É necessário relato.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bookmarkStart w:id="0" w:name="_GoBack"/>
      <w:r>
        <w:rPr>
          <w:sz w:val="24"/>
          <w:szCs w:val="24"/>
          <w:lang w:eastAsia="pt-BR"/>
        </w:rPr>
        <w:t>II – FUNDAMENTAÇÃO</w:t>
      </w:r>
    </w:p>
    <w:p w:rsidR="00745D3D" w:rsidRDefault="00666A7E" w:rsidP="00745D3D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Constatada a perda superveniente do objeto recursal, matizada a prática do ato pretendido pelo Ministério Público em sua pretensão, impõe-se o não conhecimento do recurso</w:t>
      </w:r>
      <w:r w:rsidR="00745D3D">
        <w:rPr>
          <w:sz w:val="24"/>
          <w:szCs w:val="24"/>
          <w:lang w:eastAsia="pt-BR"/>
        </w:rPr>
        <w:t>.</w:t>
      </w:r>
    </w:p>
    <w:p w:rsidR="00745D3D" w:rsidRDefault="00745D3D" w:rsidP="00745D3D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Em tal hipótese, admite-se, na jurisprudência desta Corte, a extinção do feito por decisão monocrática:</w:t>
      </w:r>
    </w:p>
    <w:p w:rsidR="00666A7E" w:rsidRDefault="00666A7E" w:rsidP="00666A7E">
      <w:pPr>
        <w:spacing w:before="600" w:after="600" w:line="360" w:lineRule="auto"/>
        <w:ind w:left="2268"/>
        <w:jc w:val="both"/>
        <w:rPr>
          <w:lang w:eastAsia="pt-BR"/>
        </w:rPr>
      </w:pPr>
      <w:r>
        <w:rPr>
          <w:lang w:eastAsia="pt-BR"/>
        </w:rPr>
        <w:t>DECISÃO MONOCRÁTICA. AGRAVO EM EXECUÇÃO PENAL. DECISÃO QUE</w:t>
      </w:r>
      <w:r>
        <w:rPr>
          <w:lang w:eastAsia="pt-BR"/>
        </w:rPr>
        <w:t xml:space="preserve"> </w:t>
      </w:r>
      <w:r>
        <w:rPr>
          <w:lang w:eastAsia="pt-BR"/>
        </w:rPr>
        <w:t>MANTEVE O REGIME SEMIABERTO HARMONIZADO COM MONITORAÇÃO</w:t>
      </w:r>
      <w:r>
        <w:rPr>
          <w:lang w:eastAsia="pt-BR"/>
        </w:rPr>
        <w:t xml:space="preserve"> </w:t>
      </w:r>
      <w:r>
        <w:rPr>
          <w:lang w:eastAsia="pt-BR"/>
        </w:rPr>
        <w:t>ELETRÔNICA, APESAR DE SOMATÓRIA DAS PENAS REMANESCENTES SUPERAR OITO</w:t>
      </w:r>
      <w:r>
        <w:rPr>
          <w:lang w:eastAsia="pt-BR"/>
        </w:rPr>
        <w:t xml:space="preserve"> </w:t>
      </w:r>
      <w:r>
        <w:rPr>
          <w:lang w:eastAsia="pt-BR"/>
        </w:rPr>
        <w:t>ANOS DE RECLUSÃO. INSURGÊNCIA DO MINISTÉRIO PÚBLICO. PLEITO DE FIXAÇÃO</w:t>
      </w:r>
      <w:r>
        <w:rPr>
          <w:lang w:eastAsia="pt-BR"/>
        </w:rPr>
        <w:t xml:space="preserve"> </w:t>
      </w:r>
      <w:r>
        <w:rPr>
          <w:lang w:eastAsia="pt-BR"/>
        </w:rPr>
        <w:t>DO REGIME FECHADO. DECISÃO POSTERIOR DO JUÍZO DE ORIGEM QUE DETERMINOU</w:t>
      </w:r>
      <w:r>
        <w:rPr>
          <w:lang w:eastAsia="pt-BR"/>
        </w:rPr>
        <w:t xml:space="preserve"> </w:t>
      </w:r>
      <w:r>
        <w:rPr>
          <w:lang w:eastAsia="pt-BR"/>
        </w:rPr>
        <w:t>EXTINTA A PUNIBILIDADE PELA CONCESSÃO DE INDULTO. ALTERAÇÃO DO</w:t>
      </w:r>
      <w:r>
        <w:rPr>
          <w:lang w:eastAsia="pt-BR"/>
        </w:rPr>
        <w:t xml:space="preserve"> </w:t>
      </w:r>
      <w:r>
        <w:rPr>
          <w:lang w:eastAsia="pt-BR"/>
        </w:rPr>
        <w:t>PANORAMA FÁTICO E PROCESSUAL EXECUTÓRIO DO AGRAVADO. EFEITOS DA</w:t>
      </w:r>
      <w:r>
        <w:rPr>
          <w:lang w:eastAsia="pt-BR"/>
        </w:rPr>
        <w:t xml:space="preserve"> </w:t>
      </w:r>
      <w:r>
        <w:rPr>
          <w:lang w:eastAsia="pt-BR"/>
        </w:rPr>
        <w:t>DECISÃO COMBATIDA QUE NÃO MAIS PERSISTEM. PERDA SUPERVENIENTE DO</w:t>
      </w:r>
      <w:r>
        <w:rPr>
          <w:lang w:eastAsia="pt-BR"/>
        </w:rPr>
        <w:t xml:space="preserve"> </w:t>
      </w:r>
      <w:r>
        <w:rPr>
          <w:lang w:eastAsia="pt-BR"/>
        </w:rPr>
        <w:t>OBJETO RECURSAL. APLICABILIDADE DO ARTIGO 182, INCISO XIX, DO REGIMENTO</w:t>
      </w:r>
      <w:r>
        <w:rPr>
          <w:lang w:eastAsia="pt-BR"/>
        </w:rPr>
        <w:t xml:space="preserve"> </w:t>
      </w:r>
      <w:r>
        <w:rPr>
          <w:lang w:eastAsia="pt-BR"/>
        </w:rPr>
        <w:t>INTERNO DO TJPR. RECURSO DE AGRAVO PREJUDICADO.</w:t>
      </w:r>
      <w:r>
        <w:rPr>
          <w:lang w:eastAsia="pt-BR"/>
        </w:rPr>
        <w:t xml:space="preserve"> </w:t>
      </w:r>
      <w:r>
        <w:rPr>
          <w:lang w:eastAsia="pt-BR"/>
        </w:rPr>
        <w:t>1. Compete ao Relator não conhecer, monocraticamente, de recurso</w:t>
      </w:r>
      <w:r>
        <w:rPr>
          <w:lang w:eastAsia="pt-BR"/>
        </w:rPr>
        <w:t xml:space="preserve"> </w:t>
      </w:r>
      <w:r>
        <w:rPr>
          <w:lang w:eastAsia="pt-BR"/>
        </w:rPr>
        <w:t>prejudicado, nos termos do artigo 932, inciso III, do Código de Processo Civil e no artigo 182,</w:t>
      </w:r>
      <w:r>
        <w:rPr>
          <w:lang w:eastAsia="pt-BR"/>
        </w:rPr>
        <w:t xml:space="preserve"> </w:t>
      </w:r>
      <w:r>
        <w:rPr>
          <w:lang w:eastAsia="pt-BR"/>
        </w:rPr>
        <w:t>inciso XIX, do Regimento Interno deste Tribunal.</w:t>
      </w:r>
      <w:r>
        <w:rPr>
          <w:lang w:eastAsia="pt-BR"/>
        </w:rPr>
        <w:t xml:space="preserve"> </w:t>
      </w:r>
      <w:r>
        <w:rPr>
          <w:lang w:eastAsia="pt-BR"/>
        </w:rPr>
        <w:t>2. A superveniência de decisão, no bojo dos autos da execução penal, que</w:t>
      </w:r>
      <w:r>
        <w:rPr>
          <w:lang w:eastAsia="pt-BR"/>
        </w:rPr>
        <w:t xml:space="preserve"> </w:t>
      </w:r>
      <w:r>
        <w:rPr>
          <w:lang w:eastAsia="pt-BR"/>
        </w:rPr>
        <w:t>determina a extinção de punibilidade executória do agravado, em razão da concessão de indulto,</w:t>
      </w:r>
      <w:r>
        <w:rPr>
          <w:lang w:eastAsia="pt-BR"/>
        </w:rPr>
        <w:t xml:space="preserve"> </w:t>
      </w:r>
      <w:r>
        <w:rPr>
          <w:lang w:eastAsia="pt-BR"/>
        </w:rPr>
        <w:t>caracteriza a perda de objeto do presente recurso, que justifica a interrupção do trâmite</w:t>
      </w:r>
      <w:r>
        <w:rPr>
          <w:lang w:eastAsia="pt-BR"/>
        </w:rPr>
        <w:t xml:space="preserve"> </w:t>
      </w:r>
      <w:r>
        <w:rPr>
          <w:lang w:eastAsia="pt-BR"/>
        </w:rPr>
        <w:t>recursal, pelo não conhecimento.</w:t>
      </w:r>
      <w:r>
        <w:rPr>
          <w:lang w:eastAsia="pt-BR"/>
        </w:rPr>
        <w:t xml:space="preserve"> </w:t>
      </w:r>
      <w:r>
        <w:rPr>
          <w:lang w:eastAsia="pt-BR"/>
        </w:rPr>
        <w:t>3. Recurso de agravo prejudicado.</w:t>
      </w:r>
      <w:r>
        <w:rPr>
          <w:lang w:eastAsia="pt-BR"/>
        </w:rPr>
        <w:t xml:space="preserve"> </w:t>
      </w:r>
      <w:r>
        <w:rPr>
          <w:lang w:eastAsia="pt-BR"/>
        </w:rPr>
        <w:t>(TJPR</w:t>
      </w:r>
      <w:r>
        <w:rPr>
          <w:lang w:eastAsia="pt-BR"/>
        </w:rPr>
        <w:t xml:space="preserve">. 3ª Câmara Criminal. Relator: Desembargador Substituto Humberto Gonçalves Brito. </w:t>
      </w:r>
      <w:r>
        <w:rPr>
          <w:lang w:eastAsia="pt-BR"/>
        </w:rPr>
        <w:t>4001800-72.2024.8.16.4321</w:t>
      </w:r>
      <w:r>
        <w:rPr>
          <w:lang w:eastAsia="pt-BR"/>
        </w:rPr>
        <w:t>. Data de Julgamento: 27-06-2024).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4C4063">
        <w:rPr>
          <w:b/>
          <w:sz w:val="24"/>
          <w:szCs w:val="24"/>
          <w:lang w:eastAsia="pt-BR"/>
        </w:rPr>
        <w:t xml:space="preserve">III </w:t>
      </w:r>
      <w:r>
        <w:rPr>
          <w:b/>
          <w:sz w:val="24"/>
          <w:szCs w:val="24"/>
          <w:lang w:eastAsia="pt-BR"/>
        </w:rPr>
        <w:t>–</w:t>
      </w:r>
      <w:r w:rsidRPr="004C4063">
        <w:rPr>
          <w:b/>
          <w:sz w:val="24"/>
          <w:szCs w:val="24"/>
          <w:lang w:eastAsia="pt-BR"/>
        </w:rPr>
        <w:t xml:space="preserve"> DECISÃO</w:t>
      </w:r>
    </w:p>
    <w:p w:rsidR="00666A7E" w:rsidRDefault="00745D3D" w:rsidP="00745D3D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Ante o exposto, com fulcro no artigo 182, inciso</w:t>
      </w:r>
      <w:r w:rsidR="00666A7E">
        <w:rPr>
          <w:rFonts w:eastAsiaTheme="minorHAnsi"/>
          <w:sz w:val="24"/>
          <w:szCs w:val="24"/>
          <w:lang w:eastAsia="en-US"/>
        </w:rPr>
        <w:t xml:space="preserve"> XIX, do</w:t>
      </w:r>
      <w:r>
        <w:rPr>
          <w:rFonts w:eastAsiaTheme="minorHAnsi"/>
          <w:sz w:val="24"/>
          <w:szCs w:val="24"/>
          <w:lang w:eastAsia="en-US"/>
        </w:rPr>
        <w:t xml:space="preserve"> Regimento Interno do Tribunal de Justiça do Estado do Paraná,</w:t>
      </w:r>
      <w:r w:rsidR="00666A7E">
        <w:rPr>
          <w:rFonts w:eastAsiaTheme="minorHAnsi"/>
          <w:sz w:val="24"/>
          <w:szCs w:val="24"/>
          <w:lang w:eastAsia="en-US"/>
        </w:rPr>
        <w:t xml:space="preserve"> julga-se prejudicado o recurso</w:t>
      </w:r>
      <w:r>
        <w:rPr>
          <w:rFonts w:eastAsiaTheme="minorHAnsi"/>
          <w:sz w:val="24"/>
          <w:szCs w:val="24"/>
          <w:lang w:eastAsia="en-US"/>
        </w:rPr>
        <w:t xml:space="preserve"> </w:t>
      </w:r>
      <w:r w:rsidR="00666A7E">
        <w:rPr>
          <w:rFonts w:eastAsiaTheme="minorHAnsi"/>
          <w:sz w:val="24"/>
          <w:szCs w:val="24"/>
          <w:lang w:eastAsia="en-US"/>
        </w:rPr>
        <w:t>não se conhece de seu mérito.</w:t>
      </w:r>
    </w:p>
    <w:p w:rsidR="005A646E" w:rsidRDefault="005A646E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Intimem-se.</w:t>
      </w:r>
    </w:p>
    <w:p w:rsidR="004864FF" w:rsidRPr="005A646E" w:rsidRDefault="00A4563A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Oportunamente, arquivem-se.</w:t>
      </w:r>
      <w:bookmarkEnd w:id="0"/>
    </w:p>
    <w:sectPr w:rsidR="004864FF" w:rsidRPr="005A646E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A7E" w:rsidRDefault="00E57A7E" w:rsidP="00E57A7E">
      <w:r>
        <w:separator/>
      </w:r>
    </w:p>
  </w:endnote>
  <w:endnote w:type="continuationSeparator" w:id="0">
    <w:p w:rsidR="00E57A7E" w:rsidRDefault="00E57A7E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A7E" w:rsidRDefault="00E57A7E" w:rsidP="00E57A7E">
      <w:r>
        <w:separator/>
      </w:r>
    </w:p>
  </w:footnote>
  <w:footnote w:type="continuationSeparator" w:id="0">
    <w:p w:rsidR="00E57A7E" w:rsidRDefault="00E57A7E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E9"/>
    <w:rsid w:val="00062DDB"/>
    <w:rsid w:val="00132CD6"/>
    <w:rsid w:val="002E4070"/>
    <w:rsid w:val="003B0C74"/>
    <w:rsid w:val="003D773D"/>
    <w:rsid w:val="004864FF"/>
    <w:rsid w:val="005405F5"/>
    <w:rsid w:val="005A646E"/>
    <w:rsid w:val="00666A7E"/>
    <w:rsid w:val="00704CE9"/>
    <w:rsid w:val="00745D3D"/>
    <w:rsid w:val="007C1295"/>
    <w:rsid w:val="0080753B"/>
    <w:rsid w:val="00A4563A"/>
    <w:rsid w:val="00B40E92"/>
    <w:rsid w:val="00BD3F10"/>
    <w:rsid w:val="00C64155"/>
    <w:rsid w:val="00DA36D7"/>
    <w:rsid w:val="00E5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22CC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1FF6DA-7376-4210-9843-9FD8A83642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0A24B8-82E5-41A5-AB5D-CDF651C4BD12}"/>
</file>

<file path=customXml/itemProps3.xml><?xml version="1.0" encoding="utf-8"?>
<ds:datastoreItem xmlns:ds="http://schemas.openxmlformats.org/officeDocument/2006/customXml" ds:itemID="{2A8F00E2-4E78-407B-ABAF-D367E1AA82E4}"/>
</file>

<file path=customXml/itemProps4.xml><?xml version="1.0" encoding="utf-8"?>
<ds:datastoreItem xmlns:ds="http://schemas.openxmlformats.org/officeDocument/2006/customXml" ds:itemID="{AFE86EFD-7294-4CD8-806A-7C612E6205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</cp:revision>
  <dcterms:created xsi:type="dcterms:W3CDTF">2023-06-26T17:41:00Z</dcterms:created>
  <dcterms:modified xsi:type="dcterms:W3CDTF">2024-07-03T17:42:00Z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361200</vt:r8>
  </property>
</Properties>
</file>