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2FF" w:rsidRDefault="009A6428" w:rsidP="00C032FF">
      <w:pPr>
        <w:ind w:firstLine="0"/>
        <w:rPr>
          <w:b/>
          <w:szCs w:val="24"/>
          <w:lang w:eastAsia="pt-BR"/>
        </w:rPr>
      </w:pPr>
      <w:r>
        <w:rPr>
          <w:b/>
          <w:szCs w:val="24"/>
          <w:lang w:eastAsia="pt-BR"/>
        </w:rPr>
        <w:t>PENAL. PROCESSUAL PENAL. DECISÃO MONOCRÁTICA. AGRAVO EM EXECUÇÃO CONTRA DECISÃO QUE INDEFERIU</w:t>
      </w:r>
      <w:r w:rsidR="00C032FF">
        <w:rPr>
          <w:b/>
          <w:szCs w:val="24"/>
          <w:lang w:eastAsia="pt-BR"/>
        </w:rPr>
        <w:t xml:space="preserve"> PEDIDO DE CONVERSÃO DE INTERNAÇÃO EM TRATAMENTO AMBULATORIAL. DECISÃO POSTERIOR CONCESSIVA DE </w:t>
      </w:r>
      <w:proofErr w:type="spellStart"/>
      <w:r w:rsidR="00C032FF">
        <w:rPr>
          <w:b/>
          <w:szCs w:val="24"/>
          <w:lang w:eastAsia="pt-BR"/>
        </w:rPr>
        <w:t>DESINTERNAÇÃO</w:t>
      </w:r>
      <w:proofErr w:type="spellEnd"/>
      <w:r w:rsidR="00C032FF">
        <w:rPr>
          <w:b/>
          <w:szCs w:val="24"/>
          <w:lang w:eastAsia="pt-BR"/>
        </w:rPr>
        <w:t xml:space="preserve"> CONDICIONAL. PERDA SUPERVENIENTE DO OBJETO RECURSAL. EXTINÇÃO SEM RESOLUÇÃO DO MÉRITO.</w:t>
      </w:r>
    </w:p>
    <w:p w:rsidR="00C032FF" w:rsidRDefault="009A6428" w:rsidP="00C032FF">
      <w:pPr>
        <w:ind w:firstLine="0"/>
        <w:rPr>
          <w:b/>
          <w:szCs w:val="24"/>
          <w:lang w:eastAsia="pt-BR"/>
        </w:rPr>
      </w:pPr>
      <w:bookmarkStart w:id="0" w:name="_GoBack"/>
      <w:bookmarkEnd w:id="0"/>
      <w:r>
        <w:rPr>
          <w:b/>
          <w:szCs w:val="24"/>
          <w:lang w:eastAsia="pt-BR"/>
        </w:rPr>
        <w:t>1. O deferimento d</w:t>
      </w:r>
      <w:r w:rsidR="00C032FF">
        <w:rPr>
          <w:b/>
          <w:szCs w:val="24"/>
          <w:lang w:eastAsia="pt-BR"/>
        </w:rPr>
        <w:t xml:space="preserve">e </w:t>
      </w:r>
      <w:proofErr w:type="spellStart"/>
      <w:r w:rsidR="00C032FF">
        <w:rPr>
          <w:b/>
          <w:szCs w:val="24"/>
          <w:lang w:eastAsia="pt-BR"/>
        </w:rPr>
        <w:t>desinternação</w:t>
      </w:r>
      <w:proofErr w:type="spellEnd"/>
      <w:r w:rsidR="00C032FF">
        <w:rPr>
          <w:b/>
          <w:szCs w:val="24"/>
          <w:lang w:eastAsia="pt-BR"/>
        </w:rPr>
        <w:t>, por decisão posterior à interposição de agravo contra decisão de indeferimento de tratamento ambulatorial, esvazia o objetivo do respectivo recurso.</w:t>
      </w:r>
    </w:p>
    <w:p w:rsidR="009A6428" w:rsidRDefault="009A6428" w:rsidP="00C032FF">
      <w:pPr>
        <w:ind w:firstLine="0"/>
        <w:rPr>
          <w:b/>
          <w:szCs w:val="24"/>
          <w:lang w:eastAsia="pt-BR"/>
        </w:rPr>
      </w:pPr>
      <w:r>
        <w:rPr>
          <w:b/>
          <w:szCs w:val="24"/>
          <w:lang w:eastAsia="pt-BR"/>
        </w:rPr>
        <w:t>2. Recurso extinto sem julgamento do mérito.</w:t>
      </w:r>
    </w:p>
    <w:p w:rsidR="009A6428" w:rsidRDefault="009A6428" w:rsidP="009A6428">
      <w:pPr>
        <w:pStyle w:val="PargrafodaLista"/>
        <w:ind w:left="0"/>
        <w:contextualSpacing w:val="0"/>
        <w:rPr>
          <w:b/>
        </w:rPr>
      </w:pPr>
    </w:p>
    <w:p w:rsidR="009A6428" w:rsidRDefault="009A6428" w:rsidP="009A6428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9A6428" w:rsidRDefault="009A6428" w:rsidP="009A6428">
      <w:pPr>
        <w:pStyle w:val="PargrafodaLista"/>
        <w:ind w:left="0"/>
        <w:contextualSpacing w:val="0"/>
      </w:pPr>
      <w:r>
        <w:t>Cuida-se de agravo em execução interposto por</w:t>
      </w:r>
      <w:r>
        <w:t xml:space="preserve"> Vitor Afonso </w:t>
      </w:r>
      <w:proofErr w:type="spellStart"/>
      <w:r>
        <w:t>Glonek</w:t>
      </w:r>
      <w:proofErr w:type="spellEnd"/>
      <w:r>
        <w:t xml:space="preserve"> </w:t>
      </w:r>
      <w:proofErr w:type="spellStart"/>
      <w:r>
        <w:t>Faglioni</w:t>
      </w:r>
      <w:proofErr w:type="spellEnd"/>
      <w:r>
        <w:t xml:space="preserve"> em face do Ministério Público do Estado do Paraná, tendo como objeto decisão proferida pelo juízo da Vara de Execuções Penais, Medidas Alternativas e Corregedoria dos Presídios do Foro Central de Curitiba, que indeferiu pedido de conversão de internamento em tratamento ambulatorial (evento 65.1 – </w:t>
      </w:r>
      <w:proofErr w:type="spellStart"/>
      <w:r>
        <w:t>SEEU</w:t>
      </w:r>
      <w:proofErr w:type="spellEnd"/>
      <w:r>
        <w:t>).</w:t>
      </w:r>
    </w:p>
    <w:p w:rsidR="009A6428" w:rsidRDefault="009A6428" w:rsidP="009A6428">
      <w:pPr>
        <w:pStyle w:val="PargrafodaLista"/>
        <w:ind w:left="0"/>
        <w:contextualSpacing w:val="0"/>
      </w:pPr>
      <w:r>
        <w:t xml:space="preserve">Sobreveio decisão de levantamento da medida de segurança e deferimento de </w:t>
      </w:r>
      <w:proofErr w:type="spellStart"/>
      <w:r>
        <w:t>desinternação</w:t>
      </w:r>
      <w:proofErr w:type="spellEnd"/>
      <w:r>
        <w:t xml:space="preserve"> condicional do agravante, pelo prazo de 1 (um) ano (evento 65.1 – </w:t>
      </w:r>
      <w:proofErr w:type="spellStart"/>
      <w:r>
        <w:t>SEEU</w:t>
      </w:r>
      <w:proofErr w:type="spellEnd"/>
      <w:r>
        <w:t>).</w:t>
      </w:r>
    </w:p>
    <w:p w:rsidR="009A6428" w:rsidRDefault="009A6428" w:rsidP="009A6428">
      <w:pPr>
        <w:pStyle w:val="PargrafodaLista"/>
        <w:ind w:left="0"/>
        <w:contextualSpacing w:val="0"/>
      </w:pPr>
    </w:p>
    <w:p w:rsidR="009A6428" w:rsidRPr="009A6428" w:rsidRDefault="009A6428" w:rsidP="009A6428">
      <w:pPr>
        <w:pStyle w:val="PargrafodaLista"/>
        <w:ind w:left="0"/>
        <w:contextualSpacing w:val="0"/>
      </w:pPr>
      <w:r w:rsidRPr="009A6428">
        <w:rPr>
          <w:b/>
        </w:rPr>
        <w:t>II – FUNDAMENTAÇÃO</w:t>
      </w:r>
    </w:p>
    <w:p w:rsidR="009A6428" w:rsidRDefault="009A6428" w:rsidP="009A6428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 xml:space="preserve">A concessão de </w:t>
      </w:r>
      <w:proofErr w:type="spellStart"/>
      <w:r>
        <w:rPr>
          <w:szCs w:val="24"/>
          <w:lang w:eastAsia="pt-BR"/>
        </w:rPr>
        <w:t>desinternação</w:t>
      </w:r>
      <w:proofErr w:type="spellEnd"/>
      <w:r>
        <w:rPr>
          <w:szCs w:val="24"/>
          <w:lang w:eastAsia="pt-BR"/>
        </w:rPr>
        <w:t xml:space="preserve"> condicional, nos termos do artigo 97, § 3º, do Código Penal, durante o processamento de agravo em execução contra decisão anterior, que indeferiu pedido assemelhado, </w:t>
      </w:r>
      <w:r w:rsidR="00C032FF">
        <w:rPr>
          <w:szCs w:val="24"/>
          <w:lang w:eastAsia="pt-BR"/>
        </w:rPr>
        <w:t xml:space="preserve">configura </w:t>
      </w:r>
      <w:r>
        <w:rPr>
          <w:szCs w:val="24"/>
          <w:lang w:eastAsia="pt-BR"/>
        </w:rPr>
        <w:t>perda superveniente do objeto recursal.</w:t>
      </w:r>
    </w:p>
    <w:p w:rsidR="009A6428" w:rsidRDefault="009A6428" w:rsidP="009A6428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>Em tal hipótese, admite-se, na jurisprudência desta Corte, a extinção do feito por decisão monocrática:</w:t>
      </w:r>
    </w:p>
    <w:p w:rsidR="00C032FF" w:rsidRDefault="00C032FF" w:rsidP="00C032FF">
      <w:pPr>
        <w:pStyle w:val="PargrafodaLista"/>
        <w:spacing w:before="600" w:after="600"/>
        <w:ind w:left="2268" w:firstLine="0"/>
        <w:rPr>
          <w:sz w:val="20"/>
          <w:lang w:eastAsia="pt-BR"/>
        </w:rPr>
      </w:pPr>
      <w:r w:rsidRPr="00C032FF">
        <w:rPr>
          <w:sz w:val="20"/>
          <w:lang w:eastAsia="pt-BR"/>
        </w:rPr>
        <w:t>DECISÃO MONOCRÁTICA. AGRAVO EM EXECUÇÃO PENAL.</w:t>
      </w:r>
      <w:r>
        <w:rPr>
          <w:sz w:val="20"/>
          <w:lang w:eastAsia="pt-BR"/>
        </w:rPr>
        <w:t xml:space="preserve"> </w:t>
      </w:r>
      <w:r w:rsidRPr="00C032FF">
        <w:rPr>
          <w:sz w:val="20"/>
          <w:lang w:eastAsia="pt-BR"/>
        </w:rPr>
        <w:t>IRRESIGNAÇÃO DIANTE DE DECISÃO QUE INDEFERIU O PEDIDO</w:t>
      </w:r>
      <w:r>
        <w:rPr>
          <w:sz w:val="20"/>
          <w:lang w:eastAsia="pt-BR"/>
        </w:rPr>
        <w:t xml:space="preserve"> </w:t>
      </w:r>
      <w:r w:rsidRPr="00C032FF">
        <w:rPr>
          <w:sz w:val="20"/>
          <w:lang w:eastAsia="pt-BR"/>
        </w:rPr>
        <w:t xml:space="preserve">DE </w:t>
      </w:r>
      <w:proofErr w:type="spellStart"/>
      <w:r w:rsidRPr="00C032FF">
        <w:rPr>
          <w:sz w:val="20"/>
          <w:lang w:eastAsia="pt-BR"/>
        </w:rPr>
        <w:t>DESINTERNAÇÃO</w:t>
      </w:r>
      <w:proofErr w:type="spellEnd"/>
      <w:r w:rsidRPr="00C032FF">
        <w:rPr>
          <w:sz w:val="20"/>
          <w:lang w:eastAsia="pt-BR"/>
        </w:rPr>
        <w:t>. PERDA SUPERVENIENTE DO OBJETO.</w:t>
      </w:r>
      <w:r>
        <w:rPr>
          <w:sz w:val="20"/>
          <w:lang w:eastAsia="pt-BR"/>
        </w:rPr>
        <w:t xml:space="preserve"> </w:t>
      </w:r>
      <w:r w:rsidRPr="00C032FF">
        <w:rPr>
          <w:sz w:val="20"/>
          <w:lang w:eastAsia="pt-BR"/>
        </w:rPr>
        <w:t>POSTERIOR JUNTADA DE LAUDO PSIQUIÁTRICO FAVORÁVEL E</w:t>
      </w:r>
      <w:r>
        <w:rPr>
          <w:sz w:val="20"/>
          <w:lang w:eastAsia="pt-BR"/>
        </w:rPr>
        <w:t xml:space="preserve"> </w:t>
      </w:r>
      <w:r w:rsidRPr="00C032FF">
        <w:rPr>
          <w:sz w:val="20"/>
          <w:lang w:eastAsia="pt-BR"/>
        </w:rPr>
        <w:t xml:space="preserve">COLOCAÇÃO DO REEDUCANDO EM </w:t>
      </w:r>
      <w:proofErr w:type="spellStart"/>
      <w:r w:rsidRPr="00C032FF">
        <w:rPr>
          <w:sz w:val="20"/>
          <w:lang w:eastAsia="pt-BR"/>
        </w:rPr>
        <w:t>DESINTERNAÇÃO</w:t>
      </w:r>
      <w:proofErr w:type="spellEnd"/>
      <w:r>
        <w:rPr>
          <w:sz w:val="20"/>
          <w:lang w:eastAsia="pt-BR"/>
        </w:rPr>
        <w:t xml:space="preserve"> </w:t>
      </w:r>
      <w:r w:rsidRPr="00C032FF">
        <w:rPr>
          <w:sz w:val="20"/>
          <w:lang w:eastAsia="pt-BR"/>
        </w:rPr>
        <w:t>CONDICIONAL. EXTINÇÃO DO FEITO SEM JULGAMENTO DO</w:t>
      </w:r>
      <w:r>
        <w:rPr>
          <w:sz w:val="20"/>
          <w:lang w:eastAsia="pt-BR"/>
        </w:rPr>
        <w:t xml:space="preserve"> </w:t>
      </w:r>
      <w:r w:rsidRPr="00C032FF">
        <w:rPr>
          <w:sz w:val="20"/>
          <w:lang w:eastAsia="pt-BR"/>
        </w:rPr>
        <w:t xml:space="preserve">MÉRITO, CONFORME O DISPOSTO NO ART. 182, </w:t>
      </w:r>
      <w:proofErr w:type="spellStart"/>
      <w:r w:rsidRPr="00C032FF">
        <w:rPr>
          <w:sz w:val="20"/>
          <w:lang w:eastAsia="pt-BR"/>
        </w:rPr>
        <w:t>XIX</w:t>
      </w:r>
      <w:proofErr w:type="spellEnd"/>
      <w:r w:rsidRPr="00C032FF">
        <w:rPr>
          <w:sz w:val="20"/>
          <w:lang w:eastAsia="pt-BR"/>
        </w:rPr>
        <w:t>, DO</w:t>
      </w:r>
      <w:r>
        <w:rPr>
          <w:sz w:val="20"/>
          <w:lang w:eastAsia="pt-BR"/>
        </w:rPr>
        <w:t xml:space="preserve"> </w:t>
      </w:r>
      <w:r w:rsidRPr="00C032FF">
        <w:rPr>
          <w:sz w:val="20"/>
          <w:lang w:eastAsia="pt-BR"/>
        </w:rPr>
        <w:t>REGIMENTO INTERNO DESTE TRIBUNAL DE JUSTIÇA. RECURSO</w:t>
      </w:r>
      <w:r>
        <w:rPr>
          <w:sz w:val="20"/>
          <w:lang w:eastAsia="pt-BR"/>
        </w:rPr>
        <w:t xml:space="preserve"> </w:t>
      </w:r>
      <w:r w:rsidRPr="00C032FF">
        <w:rPr>
          <w:sz w:val="20"/>
          <w:lang w:eastAsia="pt-BR"/>
        </w:rPr>
        <w:t>PREJUDICADO.</w:t>
      </w:r>
      <w:r>
        <w:rPr>
          <w:sz w:val="20"/>
          <w:lang w:eastAsia="pt-BR"/>
        </w:rPr>
        <w:t xml:space="preserve"> (</w:t>
      </w:r>
      <w:proofErr w:type="spellStart"/>
      <w:r>
        <w:rPr>
          <w:sz w:val="20"/>
          <w:lang w:eastAsia="pt-BR"/>
        </w:rPr>
        <w:t>TJPR</w:t>
      </w:r>
      <w:proofErr w:type="spellEnd"/>
      <w:r>
        <w:rPr>
          <w:sz w:val="20"/>
          <w:lang w:eastAsia="pt-BR"/>
        </w:rPr>
        <w:t xml:space="preserve">. 5ª Câmara Criminal. Relator: Desembargador Substituto </w:t>
      </w:r>
      <w:proofErr w:type="spellStart"/>
      <w:r>
        <w:rPr>
          <w:sz w:val="20"/>
          <w:lang w:eastAsia="pt-BR"/>
        </w:rPr>
        <w:t>Delcio</w:t>
      </w:r>
      <w:proofErr w:type="spellEnd"/>
      <w:r>
        <w:rPr>
          <w:sz w:val="20"/>
          <w:lang w:eastAsia="pt-BR"/>
        </w:rPr>
        <w:t xml:space="preserve"> Miranda da Rocha. </w:t>
      </w:r>
      <w:r w:rsidRPr="00C032FF">
        <w:rPr>
          <w:sz w:val="20"/>
          <w:lang w:eastAsia="pt-BR"/>
        </w:rPr>
        <w:t>4004206-03.2023.8.16.4321</w:t>
      </w:r>
      <w:r>
        <w:rPr>
          <w:sz w:val="20"/>
          <w:lang w:eastAsia="pt-BR"/>
        </w:rPr>
        <w:t>. Data de Julgamento: 22-02-2024).</w:t>
      </w:r>
    </w:p>
    <w:p w:rsidR="009A6428" w:rsidRDefault="009A6428" w:rsidP="009A6428">
      <w:pPr>
        <w:pStyle w:val="PargrafodaLista"/>
        <w:ind w:left="0"/>
      </w:pPr>
    </w:p>
    <w:p w:rsidR="009A6428" w:rsidRDefault="009A6428" w:rsidP="009A6428">
      <w:pPr>
        <w:spacing w:before="240"/>
        <w:rPr>
          <w:b/>
          <w:szCs w:val="24"/>
          <w:lang w:eastAsia="pt-BR"/>
        </w:rPr>
      </w:pPr>
      <w:proofErr w:type="spellStart"/>
      <w:r>
        <w:rPr>
          <w:b/>
          <w:szCs w:val="24"/>
          <w:lang w:eastAsia="pt-BR"/>
        </w:rPr>
        <w:t>III</w:t>
      </w:r>
      <w:proofErr w:type="spellEnd"/>
      <w:r>
        <w:rPr>
          <w:b/>
          <w:szCs w:val="24"/>
          <w:lang w:eastAsia="pt-BR"/>
        </w:rPr>
        <w:t xml:space="preserve"> – DECISÃO</w:t>
      </w:r>
    </w:p>
    <w:p w:rsidR="009A6428" w:rsidRDefault="009A6428" w:rsidP="009A6428">
      <w:pPr>
        <w:autoSpaceDN w:val="0"/>
        <w:adjustRightInd w:val="0"/>
        <w:rPr>
          <w:szCs w:val="24"/>
        </w:rPr>
      </w:pPr>
      <w:r>
        <w:rPr>
          <w:szCs w:val="24"/>
        </w:rPr>
        <w:t xml:space="preserve">Ante o exposto, com fulcro no artigo 182, incisos </w:t>
      </w:r>
      <w:proofErr w:type="spellStart"/>
      <w:r>
        <w:rPr>
          <w:szCs w:val="24"/>
        </w:rPr>
        <w:t>XIX</w:t>
      </w:r>
      <w:proofErr w:type="spellEnd"/>
      <w:r>
        <w:rPr>
          <w:szCs w:val="24"/>
        </w:rPr>
        <w:t>, do Regimento Interno do Tribunal de Justiça do Estado do Paraná, julga-se extinto o presente recurso pela parte de seu objeto.</w:t>
      </w:r>
    </w:p>
    <w:p w:rsidR="009A6428" w:rsidRDefault="009A6428" w:rsidP="009A6428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>Intimem-se.</w:t>
      </w:r>
    </w:p>
    <w:p w:rsidR="00AA28DF" w:rsidRPr="009A6428" w:rsidRDefault="009A6428" w:rsidP="00C032FF">
      <w:pPr>
        <w:spacing w:before="240"/>
      </w:pPr>
      <w:r>
        <w:rPr>
          <w:szCs w:val="24"/>
          <w:lang w:eastAsia="pt-BR"/>
        </w:rPr>
        <w:t>Oportunamente, arquivem-se.</w:t>
      </w:r>
    </w:p>
    <w:sectPr w:rsidR="00AA28DF" w:rsidRPr="009A6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165C47"/>
    <w:rsid w:val="00672942"/>
    <w:rsid w:val="00877419"/>
    <w:rsid w:val="009A6428"/>
    <w:rsid w:val="00AA28DF"/>
    <w:rsid w:val="00AE47D1"/>
    <w:rsid w:val="00C032FF"/>
    <w:rsid w:val="00DC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F3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428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0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0" ma:contentTypeDescription="Crie um novo documento." ma:contentTypeScope="" ma:versionID="3cc68c9615475231b1d84f77667dd3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7B9E4C-6CB5-4335-8F8D-5635C53749FE}"/>
</file>

<file path=customXml/itemProps2.xml><?xml version="1.0" encoding="utf-8"?>
<ds:datastoreItem xmlns:ds="http://schemas.openxmlformats.org/officeDocument/2006/customXml" ds:itemID="{8EC630C9-0255-41C1-B5CC-DB5B6A3C94B7}"/>
</file>

<file path=customXml/itemProps3.xml><?xml version="1.0" encoding="utf-8"?>
<ds:datastoreItem xmlns:ds="http://schemas.openxmlformats.org/officeDocument/2006/customXml" ds:itemID="{202B7C52-9B5E-41E5-BC5A-994C8A7D21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348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2024-06-12T19:16:00Z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361800</vt:r8>
  </property>
</Properties>
</file>