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5336" w:rsidRDefault="00315336" w:rsidP="00315336">
      <w:pPr>
        <w:ind w:firstLine="0"/>
        <w:rPr>
          <w:b/>
        </w:rPr>
      </w:pPr>
      <w:r>
        <w:rPr>
          <w:b/>
        </w:rPr>
        <w:t xml:space="preserve">PENAL. PROCESSUAL PENAL. TRÁFICO DE ENTORPECENTES. ART. 33 DA LEI 11.343. DE 2006. BUSCA DOMICILIAR. AUSÊNCIA DE COMPROVAÇÃO DE CONSENTIMENTO VÁLIDO PARA INGRESSO DOS POLICIAIS MILITARES NA RESIDÊNCIA DOS RÉUS. </w:t>
      </w:r>
      <w:r w:rsidRPr="00315336">
        <w:rPr>
          <w:b/>
          <w:i/>
        </w:rPr>
        <w:t>IN DUBIO PRO REO</w:t>
      </w:r>
      <w:r>
        <w:rPr>
          <w:b/>
          <w:i/>
        </w:rPr>
        <w:t xml:space="preserve">. </w:t>
      </w:r>
      <w:r>
        <w:rPr>
          <w:b/>
        </w:rPr>
        <w:t>NULIDADE DA PRISÃO EM FLAGRANTE E DAS PROVAS DECORRENTES DA AÇÃO VICIADA. ABSOLVIÇÃO. ART. 386, II DO CPP. RECURSOS CONHECIDOS. RECURSO DEFENSIVO PROVIDO. RECURSO DO MINISTÉRIO PÚBLICO PREJUDICADO.</w:t>
      </w:r>
    </w:p>
    <w:p w:rsidR="00315336" w:rsidRDefault="00315336" w:rsidP="00315336">
      <w:pPr>
        <w:ind w:firstLine="0"/>
        <w:rPr>
          <w:b/>
        </w:rPr>
      </w:pPr>
      <w:r>
        <w:rPr>
          <w:b/>
        </w:rPr>
        <w:t>1. Cabe ao órgão de acusação demonstrar, de maneira empiricamente verificável, a concessão de consentimento válido para ingresso e busca domiciliar, sob pena de declaração de nulidade da diligência policial e das provas dela decorrentes.</w:t>
      </w:r>
    </w:p>
    <w:p w:rsidR="00315336" w:rsidRDefault="00315336" w:rsidP="00315336">
      <w:pPr>
        <w:ind w:firstLine="0"/>
        <w:rPr>
          <w:b/>
        </w:rPr>
      </w:pPr>
      <w:r>
        <w:rPr>
          <w:b/>
        </w:rPr>
        <w:t>2. A dúvida sobre a legalidade da ação de ingresso e busca domiciliar milita em favor do acusado.</w:t>
      </w:r>
    </w:p>
    <w:p w:rsidR="00315336" w:rsidRPr="00315336" w:rsidRDefault="00CC695B" w:rsidP="00315336">
      <w:pPr>
        <w:ind w:firstLine="0"/>
        <w:rPr>
          <w:b/>
        </w:rPr>
      </w:pPr>
      <w:r>
        <w:rPr>
          <w:b/>
        </w:rPr>
        <w:t>3. Recurso da defesa conhecido e provido. Recurso do Ministério Público conhecido e julgado prejudicado.</w:t>
      </w:r>
    </w:p>
    <w:p w:rsidR="00315336" w:rsidRPr="00315336" w:rsidRDefault="00315336" w:rsidP="00315336">
      <w:pPr>
        <w:ind w:firstLine="0"/>
        <w:rPr>
          <w:b/>
        </w:rPr>
      </w:pPr>
    </w:p>
    <w:p w:rsidR="00AA28DF" w:rsidRDefault="00AA28DF" w:rsidP="00AA28DF">
      <w:pPr>
        <w:pStyle w:val="PargrafodaLista"/>
        <w:ind w:left="0"/>
        <w:contextualSpacing w:val="0"/>
        <w:rPr>
          <w:b/>
        </w:rPr>
      </w:pPr>
      <w:r>
        <w:rPr>
          <w:b/>
        </w:rPr>
        <w:t>I – RELATÓRIO</w:t>
      </w:r>
    </w:p>
    <w:p w:rsidR="003148E0" w:rsidRDefault="00AA28DF" w:rsidP="00AA28DF">
      <w:pPr>
        <w:pStyle w:val="PargrafodaLista"/>
        <w:ind w:left="0"/>
        <w:contextualSpacing w:val="0"/>
      </w:pPr>
      <w:r>
        <w:t>Cuida-se de</w:t>
      </w:r>
      <w:r w:rsidR="003148E0">
        <w:t xml:space="preserve"> recursos de apelação interpostos pelo Ministério Público do Estado do Paraná, Marcelo Silva de Souza e Sabrina Carolina de Oliveira, tendo como objeto sentença proferida pelo juízo da 5ª Vara Criminal de Londrina, que julgou parcialmente procedente pretensão punitiva estatal para condenar os réus, pelo crime do artigo 33 da Lei nº 11.343 de 2006, respectivamente, às penas de 6 (seis) anos e 3 (três) meses de reclusão e 625 (seiscentos e vinte e cinco) dias-multa em regime fechado e 1 (um) ano e 8 (oito) meses de reclusão e 166 (cento e sessenta e seis) dias-m</w:t>
      </w:r>
      <w:r w:rsidR="001F25F3">
        <w:t xml:space="preserve">ulta, em regime inicial aberto, substituída a pena privativa de liberdade por duas restritivas de direito, consistentes em prestação pecuniária e prestação de serviços à comunidade </w:t>
      </w:r>
      <w:r w:rsidR="003148E0">
        <w:t>(evento 211.1 – autos de origem).</w:t>
      </w:r>
    </w:p>
    <w:p w:rsidR="001F25F3" w:rsidRDefault="001F25F3" w:rsidP="00AA28DF">
      <w:pPr>
        <w:pStyle w:val="PargrafodaLista"/>
        <w:ind w:left="0"/>
        <w:contextualSpacing w:val="0"/>
      </w:pPr>
      <w:r>
        <w:t xml:space="preserve">Em </w:t>
      </w:r>
      <w:r w:rsidR="00D551F3">
        <w:t>seu recurso</w:t>
      </w:r>
      <w:r>
        <w:t xml:space="preserve">, o Ministério Público do Estado do Paraná sustentou que: a) Sabrina Carolina de Oliveira não faz jus à aplicação do tráfico privilegiado; b) em relação a Marcelo Silva de Souza, não só os antecedentes, mas a dedicação do agente </w:t>
      </w:r>
      <w:r w:rsidR="00D551F3">
        <w:t>a</w:t>
      </w:r>
      <w:r>
        <w:t xml:space="preserve"> atividades </w:t>
      </w:r>
      <w:r>
        <w:lastRenderedPageBreak/>
        <w:t xml:space="preserve">de tráfico de drogas deve ser considerada para afastar a referida </w:t>
      </w:r>
      <w:proofErr w:type="spellStart"/>
      <w:r>
        <w:t>minorante</w:t>
      </w:r>
      <w:proofErr w:type="spellEnd"/>
      <w:r>
        <w:t xml:space="preserve"> (evento 225.2 – autos de origem).</w:t>
      </w:r>
    </w:p>
    <w:p w:rsidR="00D551F3" w:rsidRDefault="00D551F3" w:rsidP="00AA28DF">
      <w:pPr>
        <w:pStyle w:val="PargrafodaLista"/>
        <w:ind w:left="0"/>
        <w:contextualSpacing w:val="0"/>
      </w:pPr>
      <w:r>
        <w:t>Eis as razões de inconformismo dos imputados: a) nulidade da prisão em flagrante e das provas decorrentes de indevida violação de domicílio; b) não houve demonstração do consentimento válido para ingresso dos policiais na residência do acusado</w:t>
      </w:r>
      <w:r w:rsidR="001A6EE4">
        <w:t>; c) os entorpecentes apreendidos destinavam-se ao uso pessoal de Marcelo Silva de Souza</w:t>
      </w:r>
      <w:r w:rsidR="00705133">
        <w:t xml:space="preserve">; d) a porção de drogas escondida sob o piso não pertencia a nenhum dos acusados; e) a pena-base deve ser fixada no mínimo legal; f) o acusado faz jus à causa de diminuição relativa ao tráfico privilegiado; g) eventual modificação da pena deve repercutir na fixação de regime inicial mais brando </w:t>
      </w:r>
      <w:r>
        <w:t>(evento 267.1 – autos de origem).</w:t>
      </w:r>
    </w:p>
    <w:p w:rsidR="00705133" w:rsidRPr="00705133" w:rsidRDefault="00705133" w:rsidP="00AA28DF">
      <w:pPr>
        <w:pStyle w:val="PargrafodaLista"/>
        <w:ind w:left="0"/>
        <w:contextualSpacing w:val="0"/>
      </w:pPr>
      <w:r>
        <w:t xml:space="preserve">O Ministério Público se manifestou pela improcedência do recurso defensivo (evento 270.1 – autos de origem) e os acusados deixaram transcorrer </w:t>
      </w:r>
      <w:r>
        <w:rPr>
          <w:i/>
        </w:rPr>
        <w:t xml:space="preserve">in albis </w:t>
      </w:r>
      <w:r>
        <w:t>o prazo para responder ao recurso ministerial.</w:t>
      </w:r>
    </w:p>
    <w:p w:rsidR="00AA28DF" w:rsidRDefault="001A6EE4" w:rsidP="00AA28DF">
      <w:pPr>
        <w:pStyle w:val="PargrafodaLista"/>
        <w:ind w:left="0"/>
        <w:contextualSpacing w:val="0"/>
      </w:pPr>
      <w:r>
        <w:t>A Procuradoria-Geral de Justiça opinou pelo acolhimento da tese recursal de nulidade por violação de domicílio e pelo consequente prejuízo das demais teses recursais (eventos 17.1).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705133" w:rsidRDefault="00705133" w:rsidP="00877419">
      <w:pPr>
        <w:pStyle w:val="PargrafodaLista"/>
        <w:ind w:left="0"/>
        <w:contextualSpacing w:val="0"/>
      </w:pPr>
      <w:r>
        <w:t>Satisfeitos os pressupostos de admissibilidade recursal, conhece-se da apelação interposta.</w:t>
      </w:r>
    </w:p>
    <w:p w:rsidR="00705133" w:rsidRDefault="00705133" w:rsidP="00877419">
      <w:pPr>
        <w:pStyle w:val="PargrafodaLista"/>
        <w:ind w:left="0"/>
        <w:contextualSpacing w:val="0"/>
      </w:pPr>
    </w:p>
    <w:p w:rsidR="00B051D4" w:rsidRDefault="00B051D4" w:rsidP="00877419">
      <w:pPr>
        <w:pStyle w:val="PargrafodaLista"/>
        <w:ind w:left="0"/>
        <w:contextualSpacing w:val="0"/>
      </w:pPr>
      <w:proofErr w:type="spellStart"/>
      <w:r>
        <w:t>II.II</w:t>
      </w:r>
      <w:proofErr w:type="spellEnd"/>
      <w:r>
        <w:t xml:space="preserve"> – DA NULIDADE DA BUSCA DOMICILIAR</w:t>
      </w:r>
    </w:p>
    <w:p w:rsidR="00B051D4" w:rsidRDefault="00B051D4" w:rsidP="00877419">
      <w:pPr>
        <w:pStyle w:val="PargrafodaLista"/>
        <w:ind w:left="0"/>
        <w:contextualSpacing w:val="0"/>
      </w:pPr>
      <w:r>
        <w:t xml:space="preserve">No ponto, o limite cognitivo do recurso restringe-se </w:t>
      </w:r>
      <w:r w:rsidR="004F5FF6">
        <w:t xml:space="preserve">à aferição da legalidade da diligência policial de ingresso e vistoria na residência dos acusados, que culminou com a </w:t>
      </w:r>
      <w:r w:rsidR="004F5FF6">
        <w:lastRenderedPageBreak/>
        <w:t xml:space="preserve">prisão em flagrante de </w:t>
      </w:r>
      <w:r w:rsidR="004F5FF6">
        <w:t>Sabrina Carolina de Oliveira</w:t>
      </w:r>
      <w:r w:rsidR="004F5FF6">
        <w:t xml:space="preserve"> e o consequente </w:t>
      </w:r>
      <w:proofErr w:type="spellStart"/>
      <w:r w:rsidR="004F5FF6">
        <w:t>descortinamento</w:t>
      </w:r>
      <w:proofErr w:type="spellEnd"/>
      <w:r w:rsidR="004F5FF6">
        <w:t xml:space="preserve"> da hipótese de tráfico de drogas.</w:t>
      </w:r>
    </w:p>
    <w:p w:rsidR="004F5FF6" w:rsidRDefault="004F5FF6" w:rsidP="00877419">
      <w:pPr>
        <w:pStyle w:val="PargrafodaLista"/>
        <w:ind w:left="0"/>
        <w:contextualSpacing w:val="0"/>
      </w:pPr>
      <w:r>
        <w:t>No caso dos autos, a prova dos autos não permite inferência segura acerca da outorga de consentimento válido por Sabrina Carolina de Oliveira para o ingresso dos policiais militares em sua residência e, de outro lado, inexiste demonstração sobre a prévia constatação de flagrante delito a admitir a violação do domicílio.</w:t>
      </w:r>
    </w:p>
    <w:p w:rsidR="004F5FF6" w:rsidRDefault="004F5FF6" w:rsidP="00877419">
      <w:pPr>
        <w:pStyle w:val="PargrafodaLista"/>
        <w:ind w:left="0"/>
        <w:contextualSpacing w:val="0"/>
      </w:pPr>
      <w:r>
        <w:t>Apesar dos policiais militares declararem em seu depoimento pessoal que seu acesso na residência foi franqueado pela moradora (eventos 198.2 e 198.3 – autos de origem).</w:t>
      </w:r>
    </w:p>
    <w:p w:rsidR="004F5FF6" w:rsidRDefault="004F5FF6" w:rsidP="00877419">
      <w:pPr>
        <w:pStyle w:val="PargrafodaLista"/>
        <w:ind w:left="0"/>
        <w:contextualSpacing w:val="0"/>
      </w:pPr>
      <w:r>
        <w:t>De outro lado, em seu interrogatório judicial, Sabrina Carolina de Oliveira deu versão diversa, no sentido de que foi surpreendida pela entrada dos agentes de segurança pública, que anunciaram pretensão de ingresso e busca na residência, sem qualquer pedido de autorização (evento 198.7 – autos de origem).</w:t>
      </w:r>
    </w:p>
    <w:p w:rsidR="004F5FF6" w:rsidRDefault="004F5FF6" w:rsidP="00AF4F1F">
      <w:pPr>
        <w:pStyle w:val="PargrafodaLista"/>
        <w:ind w:left="0"/>
        <w:contextualSpacing w:val="0"/>
      </w:pPr>
      <w:r>
        <w:t>Não se</w:t>
      </w:r>
      <w:r w:rsidR="00AF4F1F">
        <w:t xml:space="preserve"> </w:t>
      </w:r>
      <w:proofErr w:type="spellStart"/>
      <w:r w:rsidR="00AF4F1F">
        <w:t>describiliza</w:t>
      </w:r>
      <w:proofErr w:type="spellEnd"/>
      <w:r w:rsidR="00AF4F1F">
        <w:t xml:space="preserve">, com isso, a versão apresentada pelos policiais militares. Embora a </w:t>
      </w:r>
      <w:r>
        <w:t>participação dos agentes de segurança possua destacada relevância para a reconstrução dos fatos, os limites epistêmicos da prova testemunhal e do processo penal, como instrumento de investigação histórica, não possibilitam, no caso concreto,</w:t>
      </w:r>
      <w:r w:rsidR="00AF4F1F">
        <w:t xml:space="preserve"> aferição sobre a existência de consentimento</w:t>
      </w:r>
      <w:r w:rsidR="0098296E">
        <w:t xml:space="preserve"> para entrada no domicílio</w:t>
      </w:r>
      <w:r w:rsidR="00AF4F1F">
        <w:t xml:space="preserve"> </w:t>
      </w:r>
      <w:r w:rsidR="0098296E">
        <w:t>e sua validade, aspecto determinante para validade da prova correlata, conforme jurisprudência do Superior Tribunal de Justiça.</w:t>
      </w:r>
    </w:p>
    <w:p w:rsidR="0098296E" w:rsidRDefault="0098296E" w:rsidP="00AF4F1F">
      <w:pPr>
        <w:pStyle w:val="PargrafodaLista"/>
        <w:ind w:left="0"/>
        <w:contextualSpacing w:val="0"/>
      </w:pPr>
      <w:r>
        <w:t>Sobre o tema:</w:t>
      </w:r>
    </w:p>
    <w:p w:rsidR="0098296E" w:rsidRPr="00CC695B" w:rsidRDefault="0098296E" w:rsidP="0098296E">
      <w:pPr>
        <w:pStyle w:val="PargrafodaLista"/>
        <w:spacing w:before="600" w:after="600"/>
        <w:ind w:left="2268" w:firstLine="0"/>
        <w:contextualSpacing w:val="0"/>
        <w:rPr>
          <w:sz w:val="20"/>
        </w:rPr>
      </w:pPr>
      <w:r w:rsidRPr="00CC695B">
        <w:rPr>
          <w:sz w:val="20"/>
        </w:rPr>
        <w:t xml:space="preserve">PENAL E PROCESSUAL PENAL. AGRAVO REGIMENTAL NO AGRAVO EM RECURSO ESPECIAL. RECEPTAÇÃO. BUSCA DOMICILIAR SEM MANDADO JUDICIAL. DENÚNCIA ANÔNIMA. IMPRESTABILIDADE. CONSENTIMENTO DO MORADOR NÃO COMPROVADO. AGRAVO REGIMENTAL DESPROVIDO. 1. Conforme a tranquila jurisprudência deste STJ, a denúncia anônima não é suficiente para autorizar o ingresso da polícia em domicílio sem mandado judicial. </w:t>
      </w:r>
      <w:r w:rsidRPr="00CC695B">
        <w:rPr>
          <w:b/>
          <w:sz w:val="20"/>
        </w:rPr>
        <w:t xml:space="preserve">2. Na ausência de justa causa, e caso opte por prescindir do competente mandado judicial, é ônus do Estado comprovar o consentimento do morador para o ingresso em sua residência, o que não foi feito </w:t>
      </w:r>
      <w:r w:rsidRPr="00CC695B">
        <w:rPr>
          <w:b/>
          <w:sz w:val="20"/>
        </w:rPr>
        <w:lastRenderedPageBreak/>
        <w:t>minimamente. 3. Agravo regimental desprovido.</w:t>
      </w:r>
      <w:r w:rsidRPr="00CC695B">
        <w:rPr>
          <w:sz w:val="20"/>
        </w:rPr>
        <w:t xml:space="preserve"> (STJ. Quinta Turma. Relator: Ministro Ribeiro Dantas. </w:t>
      </w:r>
      <w:proofErr w:type="spellStart"/>
      <w:r w:rsidRPr="00CC695B">
        <w:rPr>
          <w:sz w:val="20"/>
        </w:rPr>
        <w:t>AgRg</w:t>
      </w:r>
      <w:proofErr w:type="spellEnd"/>
      <w:r w:rsidRPr="00CC695B">
        <w:rPr>
          <w:sz w:val="20"/>
        </w:rPr>
        <w:t xml:space="preserve"> no </w:t>
      </w:r>
      <w:proofErr w:type="spellStart"/>
      <w:r w:rsidRPr="00CC695B">
        <w:rPr>
          <w:sz w:val="20"/>
        </w:rPr>
        <w:t>AREsp</w:t>
      </w:r>
      <w:proofErr w:type="spellEnd"/>
      <w:r w:rsidRPr="00CC695B">
        <w:rPr>
          <w:sz w:val="20"/>
        </w:rPr>
        <w:t xml:space="preserve"> 2203597 SC 2022/0274418-8</w:t>
      </w:r>
      <w:r w:rsidRPr="00CC695B">
        <w:rPr>
          <w:sz w:val="20"/>
        </w:rPr>
        <w:t xml:space="preserve">. Data de Julgamento: </w:t>
      </w:r>
      <w:r w:rsidRPr="00CC695B">
        <w:rPr>
          <w:sz w:val="20"/>
        </w:rPr>
        <w:t>07/02/2023</w:t>
      </w:r>
      <w:r w:rsidRPr="00CC695B">
        <w:rPr>
          <w:sz w:val="20"/>
        </w:rPr>
        <w:t xml:space="preserve">. Data de Publicação: </w:t>
      </w:r>
      <w:r w:rsidRPr="00CC695B">
        <w:rPr>
          <w:sz w:val="20"/>
        </w:rPr>
        <w:t>13/02/2023)</w:t>
      </w:r>
      <w:r w:rsidRPr="00CC695B">
        <w:rPr>
          <w:sz w:val="20"/>
        </w:rPr>
        <w:t>.</w:t>
      </w:r>
    </w:p>
    <w:p w:rsidR="004F5FF6" w:rsidRDefault="00AF4F1F" w:rsidP="004F5FF6">
      <w:pPr>
        <w:pStyle w:val="PargrafodaLista"/>
        <w:ind w:left="0"/>
        <w:contextualSpacing w:val="0"/>
      </w:pPr>
      <w:r>
        <w:t xml:space="preserve">A dúvida sobre esse aspecto milita em favor dos acusados, impondo-se assunção </w:t>
      </w:r>
      <w:proofErr w:type="gramStart"/>
      <w:r>
        <w:t>da</w:t>
      </w:r>
      <w:proofErr w:type="gramEnd"/>
      <w:r>
        <w:t xml:space="preserve"> premissa de ilegalidade da diligência e declaração de nulidade das provas decorrentes.</w:t>
      </w:r>
    </w:p>
    <w:p w:rsidR="00AF4F1F" w:rsidRDefault="00AF4F1F" w:rsidP="004F5FF6">
      <w:pPr>
        <w:pStyle w:val="PargrafodaLista"/>
        <w:ind w:left="0"/>
        <w:contextualSpacing w:val="0"/>
      </w:pPr>
      <w:r>
        <w:t>A esse respeito:</w:t>
      </w:r>
    </w:p>
    <w:p w:rsidR="00AF4F1F" w:rsidRPr="00CC695B" w:rsidRDefault="00AF4F1F" w:rsidP="00AF4F1F">
      <w:pPr>
        <w:pStyle w:val="PargrafodaLista"/>
        <w:spacing w:before="600" w:after="600"/>
        <w:ind w:left="2268" w:firstLine="0"/>
        <w:contextualSpacing w:val="0"/>
        <w:rPr>
          <w:sz w:val="20"/>
        </w:rPr>
      </w:pPr>
      <w:r w:rsidRPr="00CC695B">
        <w:rPr>
          <w:sz w:val="20"/>
        </w:rPr>
        <w:t xml:space="preserve">APELAÇÃO CRIME – CRIME DE COMÉRCIO ILEGAL DE ARMA DE FOGO (ART. 17, CAPUT C/C § 1º DO ESTATUTO DO DESARMAMENTO)– SENTENÇA CONDENATÓRIA – ALEGADA NULIDADE POR VIOLAÇÃO DE DOMICÍLIO – DENÚNCIA ANÔNIMA PELO CANAL 181 QUE INFORMAVA QUE O ACUSADO COMERCIALIZAVA ARMAS DE FOGO EM SUA MERCEARIA – DESLOCAMENTO DE EQUIPE POLICIAL APÓS A DENÚNCIA ATÉ O LOCAL – CONTATO DA POLÍCIA COM O ACUSADO PARA INFORMAR O TEOR DA DENÚNCIA E REALIZAÇÃO DE BUSCAS NO INTERIOR DA MERCEARIA – FALTA DE PROVA DE CONSENTIMENTO DO ACUSADO SOBRE A AUTORIZAÇÃO PARA A REALIZAÇÃO DA DILIGÊNCIA POLICIAL – DENÚNCIA ANÔNIMA QUE, SEM DILIGÊNCIAS POLICIAIS DE CONFIRMAÇÃO, NÃO É APTA A CONFIGURAR JUSTA CAUSA PARA O INGRESSO EM DOMICÍLIO – </w:t>
      </w:r>
      <w:r w:rsidRPr="00CC695B">
        <w:rPr>
          <w:b/>
          <w:sz w:val="20"/>
        </w:rPr>
        <w:t xml:space="preserve">GARANTIA FUNDAMENTAL DA INVIOLABILIDADE DO DOMICÍLIO – INEXISTÊNCIA DE COMPROVAÇÃO DA JUSTA CAUSA (FUNDADA SUSPEITA) – DECRETO DE NULIDADE DAS PROVAS OBTIDAS – ABSOLVIÇÃO DO ACUSADO POR AUSÊNCIA DE PROVAS DA MATERIALIDADE DO DELITO – ARTIGO 386, INCISO </w:t>
      </w:r>
      <w:proofErr w:type="spellStart"/>
      <w:r w:rsidRPr="00CC695B">
        <w:rPr>
          <w:b/>
          <w:sz w:val="20"/>
        </w:rPr>
        <w:t>VII</w:t>
      </w:r>
      <w:proofErr w:type="spellEnd"/>
      <w:r w:rsidRPr="00CC695B">
        <w:rPr>
          <w:b/>
          <w:sz w:val="20"/>
        </w:rPr>
        <w:t>, DO CÓDIGO DE PROCESSO PENAL – RECURSO DE CONHECIDO E PROVIDO</w:t>
      </w:r>
      <w:r w:rsidRPr="00CC695B">
        <w:rPr>
          <w:sz w:val="20"/>
        </w:rPr>
        <w:t>. (</w:t>
      </w:r>
      <w:proofErr w:type="spellStart"/>
      <w:r w:rsidRPr="00CC695B">
        <w:rPr>
          <w:sz w:val="20"/>
        </w:rPr>
        <w:t>TJPR</w:t>
      </w:r>
      <w:proofErr w:type="spellEnd"/>
      <w:r w:rsidRPr="00CC695B">
        <w:rPr>
          <w:sz w:val="20"/>
        </w:rPr>
        <w:t xml:space="preserve">. 2ª Câmara Criminal. Relator: Desembargador Francisco Cardozo Oliveira. </w:t>
      </w:r>
      <w:r w:rsidRPr="00CC695B">
        <w:rPr>
          <w:sz w:val="20"/>
        </w:rPr>
        <w:t>0002686-16.2021.8.16.0031</w:t>
      </w:r>
      <w:r w:rsidRPr="00CC695B">
        <w:rPr>
          <w:sz w:val="20"/>
        </w:rPr>
        <w:t>. Guarapuava. Data de Julgamento: 23/02/2023).</w:t>
      </w:r>
    </w:p>
    <w:p w:rsidR="00AF4F1F" w:rsidRPr="00CC695B" w:rsidRDefault="00AF4F1F" w:rsidP="0098296E">
      <w:pPr>
        <w:pStyle w:val="PargrafodaLista"/>
        <w:spacing w:before="600" w:after="600"/>
        <w:ind w:left="2268" w:firstLine="0"/>
        <w:contextualSpacing w:val="0"/>
        <w:rPr>
          <w:sz w:val="20"/>
        </w:rPr>
      </w:pPr>
      <w:r w:rsidRPr="00CC695B">
        <w:rPr>
          <w:sz w:val="20"/>
        </w:rPr>
        <w:t>APELAÇÃO CRIMINAL. TRÁFICO DE DROGAS. SENTENÇA CONDENATÓRIA. RECURSO DA DEFESA.</w:t>
      </w:r>
      <w:r w:rsidRPr="00CC695B">
        <w:rPr>
          <w:sz w:val="20"/>
        </w:rPr>
        <w:t xml:space="preserve"> [...]</w:t>
      </w:r>
      <w:r w:rsidRPr="00CC695B">
        <w:rPr>
          <w:sz w:val="20"/>
        </w:rPr>
        <w:t xml:space="preserve"> </w:t>
      </w:r>
      <w:r w:rsidRPr="00CC695B">
        <w:rPr>
          <w:b/>
          <w:sz w:val="20"/>
        </w:rPr>
        <w:t xml:space="preserve">RECONHECIMENTO, DE OFÍCIO, DA NULIDADE DAS PROVAS OBTIDAS NA SEQUÊNCIA DA ATUAÇÃO POLICIAL, MEDIANTE VIOLAÇÃO DE </w:t>
      </w:r>
      <w:r w:rsidRPr="00CC695B">
        <w:rPr>
          <w:b/>
          <w:sz w:val="20"/>
        </w:rPr>
        <w:lastRenderedPageBreak/>
        <w:t>DOMICÍLIO. AUSÊNCIA DE JUSTA CAUSA PARA O INGRESSO NA RESIDÊNCIA DO RÉU SEM AUTORIZAÇÃO JUDICIAL. PROVAS DECLARADAS ILÍCITAS. ABSOLVIÇÃO COM FULCRO NO ARTIGO 386, INCISO II, DO CÓDIGO DE PROCESSO PENAL</w:t>
      </w:r>
      <w:r w:rsidRPr="00CC695B">
        <w:rPr>
          <w:sz w:val="20"/>
        </w:rPr>
        <w:t>. SENTENÇA REFORMADA. RECURSO PARCIALMENTE CONHECIDO E, NESTA EXTENSÃO, PARCIALMENTE PROVIDO, COM MEDIDA DE OFÍCIO.</w:t>
      </w:r>
      <w:r w:rsidRPr="00CC695B">
        <w:rPr>
          <w:sz w:val="20"/>
        </w:rPr>
        <w:t xml:space="preserve"> [...] </w:t>
      </w:r>
      <w:r w:rsidRPr="00CC695B">
        <w:rPr>
          <w:sz w:val="20"/>
        </w:rPr>
        <w:t>V - O artigo 5º, XI, da Constituição Federal é claro ao estabelecer que “a casa é asilo inviolável do indivíduo, ninguém nela podendo penetrar sem consentimento do morador, salvo em caso de flagrante delito ou desastre, ou para prestar socorro, ou, durante o dia, por determinação judicial”.VI - A redação da norma constitucional supracitada autoriza a violação do domicílio em situações excepcionais, como é o caso do flagrante delito em crimes de tráfico de drogas que, na modalidade constatada nos autos, é crime permanente, “assim compreendido aquele cuja consumação se protrai no tempo, não se exige a apresentação de mandado de busca e apreensão para o ingresso dos policiais na residência do acusado, quando se tem por objetivo fazer cessar a atividade criminosa, dada a situação de flagrância, conforme ressalva o art. 5º, XI, da Constituição Federal.” (...) (</w:t>
      </w:r>
      <w:proofErr w:type="spellStart"/>
      <w:r w:rsidRPr="00CC695B">
        <w:rPr>
          <w:sz w:val="20"/>
        </w:rPr>
        <w:t>AgRg</w:t>
      </w:r>
      <w:proofErr w:type="spellEnd"/>
      <w:r w:rsidRPr="00CC695B">
        <w:rPr>
          <w:sz w:val="20"/>
        </w:rPr>
        <w:t xml:space="preserve"> no </w:t>
      </w:r>
      <w:proofErr w:type="spellStart"/>
      <w:r w:rsidRPr="00CC695B">
        <w:rPr>
          <w:sz w:val="20"/>
        </w:rPr>
        <w:t>REsp</w:t>
      </w:r>
      <w:proofErr w:type="spellEnd"/>
      <w:r w:rsidRPr="00CC695B">
        <w:rPr>
          <w:sz w:val="20"/>
        </w:rPr>
        <w:t xml:space="preserve"> 1704746/RJ, Rel. Ministro RIBEIRO DANTAS, QUINTA TURMA, julgado em 13/03/2018, </w:t>
      </w:r>
      <w:proofErr w:type="spellStart"/>
      <w:r w:rsidRPr="00CC695B">
        <w:rPr>
          <w:sz w:val="20"/>
        </w:rPr>
        <w:t>DJe</w:t>
      </w:r>
      <w:proofErr w:type="spellEnd"/>
      <w:r w:rsidRPr="00CC695B">
        <w:rPr>
          <w:sz w:val="20"/>
        </w:rPr>
        <w:t xml:space="preserve"> 21/03/2018). </w:t>
      </w:r>
      <w:proofErr w:type="spellStart"/>
      <w:r w:rsidRPr="00CC695B">
        <w:rPr>
          <w:sz w:val="20"/>
        </w:rPr>
        <w:t>VII</w:t>
      </w:r>
      <w:proofErr w:type="spellEnd"/>
      <w:r w:rsidRPr="00CC695B">
        <w:rPr>
          <w:sz w:val="20"/>
        </w:rPr>
        <w:t xml:space="preserve"> - De acordo com o entendimento firmado pela Corte Suprema, para legitimar a diligência, desprovido de mandado judicial, é preciso que antes da constatação do ilícito exista justificativa prévia, calcada na demonstração de elementos mínimos que caracterizem fundadas razões (justa causa) para a medida. Isto é, somente quando o contexto fático anterior permitir conclusão acerca da ocorrência de delito no interior da residência alheia mostra-se possível a incursão policial no local sem autorização judicial. </w:t>
      </w:r>
      <w:proofErr w:type="spellStart"/>
      <w:r w:rsidRPr="00CC695B">
        <w:rPr>
          <w:sz w:val="20"/>
        </w:rPr>
        <w:t>VIII</w:t>
      </w:r>
      <w:proofErr w:type="spellEnd"/>
      <w:r w:rsidRPr="00CC695B">
        <w:rPr>
          <w:sz w:val="20"/>
        </w:rPr>
        <w:t xml:space="preserve"> - Partindo do enfoque doutrinário e jurisprudencial para o exame do caso em concreto, conforme já detalhado no tópico anterior, em que se acolheu o pedido defensivo de absolvição por insuficiência de provas, a abordagem inicial do réu se deu com base em meras presunções e não houve demonstração mínima de vínculo entre ele e a droga apreendida em praça pública. Por consequência lógica, conclui-se que não havia fundadas razões a justificar o posterior ingresso dos policiais na residência do acusado sem autorização judicial.</w:t>
      </w:r>
      <w:r w:rsidRPr="00CC695B">
        <w:rPr>
          <w:sz w:val="20"/>
        </w:rPr>
        <w:t xml:space="preserve"> </w:t>
      </w:r>
      <w:proofErr w:type="spellStart"/>
      <w:r w:rsidRPr="00CC695B">
        <w:rPr>
          <w:sz w:val="20"/>
        </w:rPr>
        <w:t>IX</w:t>
      </w:r>
      <w:proofErr w:type="spellEnd"/>
      <w:r w:rsidRPr="00CC695B">
        <w:rPr>
          <w:sz w:val="20"/>
        </w:rPr>
        <w:t xml:space="preserve"> - Assim, à míngua de justa causa a motivar e autorizar o ingresso dos policiais na residência, resulta ilícita a diligência realizada e, consequentemente, ilegais as provas dela decorrentes, nos termos do artigo 157 do Código de Processo Penal. Desse modo, como corolário da ilicitude das provas obtidas, todos os demais elementos probatórios decorrentes da violação de garantia constitucional são igualmente inadmitidos.</w:t>
      </w:r>
      <w:r w:rsidRPr="00CC695B">
        <w:rPr>
          <w:sz w:val="20"/>
        </w:rPr>
        <w:t xml:space="preserve"> </w:t>
      </w:r>
      <w:r w:rsidRPr="00CC695B">
        <w:rPr>
          <w:sz w:val="20"/>
        </w:rPr>
        <w:t>(</w:t>
      </w:r>
      <w:proofErr w:type="spellStart"/>
      <w:r w:rsidRPr="00CC695B">
        <w:rPr>
          <w:sz w:val="20"/>
        </w:rPr>
        <w:t>TJPR</w:t>
      </w:r>
      <w:proofErr w:type="spellEnd"/>
      <w:r w:rsidRPr="00CC695B">
        <w:rPr>
          <w:sz w:val="20"/>
        </w:rPr>
        <w:t xml:space="preserve">. 3ª Câmara Criminal. Relator: Desembargador Celso Jair </w:t>
      </w:r>
      <w:r w:rsidRPr="00CC695B">
        <w:rPr>
          <w:sz w:val="20"/>
        </w:rPr>
        <w:lastRenderedPageBreak/>
        <w:t xml:space="preserve">Mainardi. </w:t>
      </w:r>
      <w:r w:rsidRPr="00CC695B">
        <w:rPr>
          <w:sz w:val="20"/>
        </w:rPr>
        <w:t>0000730-36.2021.8.16.0072</w:t>
      </w:r>
      <w:r w:rsidRPr="00CC695B">
        <w:rPr>
          <w:sz w:val="20"/>
        </w:rPr>
        <w:t>. Colorado. Data de Julgamento: 30/04/2023).</w:t>
      </w:r>
    </w:p>
    <w:p w:rsidR="0098296E" w:rsidRDefault="0098296E" w:rsidP="0098296E">
      <w:pPr>
        <w:pStyle w:val="PargrafodaLista"/>
        <w:ind w:left="0"/>
        <w:contextualSpacing w:val="0"/>
      </w:pPr>
      <w:r>
        <w:t>Como se pode, pois, observar, a prova judicial não permite conclusão segura acerca da regularidade da diligência policial</w:t>
      </w:r>
      <w:r>
        <w:t>, porquanto não demonstrada a observância do disposto no artigo 5º, inciso XI, da Constituição da República de 1998 e no artigo 241 do Código de Processo Penal.</w:t>
      </w:r>
    </w:p>
    <w:p w:rsidR="0098296E" w:rsidRDefault="0098296E" w:rsidP="00315336">
      <w:pPr>
        <w:pStyle w:val="PargrafodaLista"/>
        <w:ind w:left="0"/>
        <w:contextualSpacing w:val="0"/>
      </w:pPr>
      <w:r>
        <w:t>Consequência lógica</w:t>
      </w:r>
      <w:r w:rsidR="00315336">
        <w:t xml:space="preserve"> é a declaração de nulidade dos atos processuais decorrentes da ação viciada e, consoante artigo 157, § 1º, do Código de Processo Penal, as provas dela derivadas, tanto assim considerados os depoimentos dos policiais militares acerca da constatação da traficância e o respectivo laudo pericial.</w:t>
      </w:r>
    </w:p>
    <w:p w:rsidR="00315336" w:rsidRDefault="00315336" w:rsidP="00315336">
      <w:pPr>
        <w:pStyle w:val="PargrafodaLista"/>
        <w:ind w:left="0"/>
        <w:contextualSpacing w:val="0"/>
      </w:pPr>
      <w:r>
        <w:t>Excluídas as provas que sustentam o juízo condenatório, a relação processual se resolve pela absolvição dos acusados, conforme regra decisória do artigo 386, inciso II, do Código de Processo Penal.</w:t>
      </w:r>
    </w:p>
    <w:p w:rsidR="00315336" w:rsidRDefault="00315336" w:rsidP="00877419">
      <w:pPr>
        <w:pStyle w:val="PargrafodaLista"/>
        <w:ind w:left="0"/>
        <w:contextualSpacing w:val="0"/>
      </w:pPr>
    </w:p>
    <w:p w:rsidR="00AA28DF" w:rsidRDefault="00B051D4" w:rsidP="00877419">
      <w:pPr>
        <w:pStyle w:val="PargrafodaLista"/>
        <w:ind w:left="0"/>
        <w:contextualSpacing w:val="0"/>
      </w:pPr>
      <w:proofErr w:type="spellStart"/>
      <w:r>
        <w:t>II.III</w:t>
      </w:r>
      <w:proofErr w:type="spellEnd"/>
      <w:r>
        <w:t xml:space="preserve"> – DA CONCLUSÃO</w:t>
      </w:r>
    </w:p>
    <w:p w:rsidR="00705133" w:rsidRDefault="00AA28DF" w:rsidP="00877419">
      <w:pPr>
        <w:pStyle w:val="PargrafodaLista"/>
        <w:ind w:left="0"/>
        <w:contextualSpacing w:val="0"/>
      </w:pPr>
      <w:r>
        <w:t>Pela conjugação das premissas deduzidas, a conclusão a ser adota</w:t>
      </w:r>
      <w:r w:rsidR="00DC37B4">
        <w:t>da</w:t>
      </w:r>
      <w:r>
        <w:t xml:space="preserve"> consiste</w:t>
      </w:r>
      <w:r w:rsidR="00705133">
        <w:t xml:space="preserve"> em: a) conhecer dos recursos; b) dar provimento ao recurso da defesa, para conhecer a nulidade da diligência de busca domiciliar e das provas emergentes e, como consequência, absolver os acusados por ausência de provas, nos termos do artigo 386, inciso II, do Código de Processo Penal; c) julgar prejudicadas as demais pretensões recursais da defesa e do Ministério Público.</w:t>
      </w:r>
    </w:p>
    <w:p w:rsidR="00705133" w:rsidRDefault="00705133" w:rsidP="00877419">
      <w:pPr>
        <w:pStyle w:val="PargrafodaLista"/>
        <w:ind w:left="0"/>
        <w:contextualSpacing w:val="0"/>
      </w:pPr>
      <w:r>
        <w:t>É como voto.</w:t>
      </w:r>
    </w:p>
    <w:p w:rsidR="00AA28DF" w:rsidRDefault="00AA28DF" w:rsidP="00705133">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705133">
        <w:rPr>
          <w:b/>
        </w:rPr>
        <w:t xml:space="preserve">– </w:t>
      </w:r>
      <w:r>
        <w:rPr>
          <w:b/>
        </w:rPr>
        <w:t>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C47"/>
    <w:rsid w:val="001A6EE4"/>
    <w:rsid w:val="001F25F3"/>
    <w:rsid w:val="003148E0"/>
    <w:rsid w:val="00315336"/>
    <w:rsid w:val="004F5FF6"/>
    <w:rsid w:val="00672942"/>
    <w:rsid w:val="00705133"/>
    <w:rsid w:val="00877419"/>
    <w:rsid w:val="0098296E"/>
    <w:rsid w:val="00AA28DF"/>
    <w:rsid w:val="00AE47D1"/>
    <w:rsid w:val="00AF4F1F"/>
    <w:rsid w:val="00B051D4"/>
    <w:rsid w:val="00CC695B"/>
    <w:rsid w:val="00D551F3"/>
    <w:rsid w:val="00DC37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0412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0853580">
      <w:bodyDiv w:val="1"/>
      <w:marLeft w:val="0"/>
      <w:marRight w:val="0"/>
      <w:marTop w:val="0"/>
      <w:marBottom w:val="0"/>
      <w:divBdr>
        <w:top w:val="none" w:sz="0" w:space="0" w:color="auto"/>
        <w:left w:val="none" w:sz="0" w:space="0" w:color="auto"/>
        <w:bottom w:val="none" w:sz="0" w:space="0" w:color="auto"/>
        <w:right w:val="none" w:sz="0" w:space="0" w:color="auto"/>
      </w:divBdr>
    </w:div>
    <w:div w:id="140479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02BF98E-57BB-44C8-819D-4DDAC75E68D3}"/>
</file>

<file path=customXml/itemProps2.xml><?xml version="1.0" encoding="utf-8"?>
<ds:datastoreItem xmlns:ds="http://schemas.openxmlformats.org/officeDocument/2006/customXml" ds:itemID="{AA94E269-EAFC-4C66-853E-4CEF7BEB1EC3}"/>
</file>

<file path=customXml/itemProps3.xml><?xml version="1.0" encoding="utf-8"?>
<ds:datastoreItem xmlns:ds="http://schemas.openxmlformats.org/officeDocument/2006/customXml" ds:itemID="{4E5B8583-8DB3-4A37-87F6-9974A3037A2E}"/>
</file>

<file path=docProps/app.xml><?xml version="1.0" encoding="utf-8"?>
<Properties xmlns="http://schemas.openxmlformats.org/officeDocument/2006/extended-properties" xmlns:vt="http://schemas.openxmlformats.org/officeDocument/2006/docPropsVTypes">
  <Template>Normal</Template>
  <TotalTime>148</TotalTime>
  <Pages>6</Pages>
  <Words>1796</Words>
  <Characters>9702</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2024-05-03T20:50:00Z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336400</vt:r8>
  </property>
</Properties>
</file>