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9BF" w:rsidRDefault="004349BF" w:rsidP="004349BF">
      <w:pPr>
        <w:ind w:firstLine="0"/>
        <w:rPr>
          <w:b/>
        </w:rPr>
      </w:pPr>
      <w:r>
        <w:rPr>
          <w:b/>
        </w:rPr>
        <w:t>PENAL. PROCESSUAL PENAL. APELAÇÃO CRIMINAL. FURTO QUALIFICADO. ART. 155, §</w:t>
      </w:r>
      <w:r>
        <w:rPr>
          <w:b/>
        </w:rPr>
        <w:t>§</w:t>
      </w:r>
      <w:r>
        <w:rPr>
          <w:b/>
        </w:rPr>
        <w:t xml:space="preserve"> </w:t>
      </w:r>
      <w:r>
        <w:rPr>
          <w:b/>
        </w:rPr>
        <w:t xml:space="preserve">1 e </w:t>
      </w:r>
      <w:r>
        <w:rPr>
          <w:b/>
        </w:rPr>
        <w:t>4º,</w:t>
      </w:r>
      <w:r>
        <w:rPr>
          <w:b/>
        </w:rPr>
        <w:t xml:space="preserve"> II, DO CP. </w:t>
      </w:r>
      <w:r>
        <w:rPr>
          <w:b/>
        </w:rPr>
        <w:t xml:space="preserve">BAGATELA. </w:t>
      </w:r>
      <w:r>
        <w:rPr>
          <w:b/>
        </w:rPr>
        <w:t xml:space="preserve">INSIGNIFICÂNCIA. </w:t>
      </w:r>
      <w:r>
        <w:rPr>
          <w:b/>
        </w:rPr>
        <w:t>ATIPICIDADE MATERIAL. RES FURTIVA SUPERIOR A 10% DO SALÁRIO-MÍNIMO.</w:t>
      </w:r>
      <w:r>
        <w:rPr>
          <w:b/>
        </w:rPr>
        <w:t xml:space="preserve"> </w:t>
      </w:r>
      <w:r w:rsidR="00C54AC2">
        <w:rPr>
          <w:b/>
        </w:rPr>
        <w:t>REPROVABILIDADE SOCIAL. DESTRUIÇÃO DE HORTALIÇAS DESTINADAS À ALIMENTAÇÃO DA VÍTIMA. DECAPITAÇÃO DE ANIMAL DE ESTIMAÇÃO. RECURSO CONHECIDO E NÃO PROVIDO.</w:t>
      </w:r>
    </w:p>
    <w:p w:rsidR="004349BF" w:rsidRDefault="004349BF" w:rsidP="004349BF">
      <w:pPr>
        <w:ind w:firstLine="0"/>
        <w:rPr>
          <w:b/>
        </w:rPr>
      </w:pPr>
      <w:r>
        <w:rPr>
          <w:b/>
        </w:rPr>
        <w:t xml:space="preserve">1. Avaliada a </w:t>
      </w:r>
      <w:r>
        <w:rPr>
          <w:b/>
          <w:i/>
        </w:rPr>
        <w:t xml:space="preserve">res </w:t>
      </w:r>
      <w:r>
        <w:rPr>
          <w:b/>
        </w:rPr>
        <w:t xml:space="preserve">furtiva em quantia superior a 10% por cento do salário-mínimo e sendo a acusada </w:t>
      </w:r>
      <w:r w:rsidRPr="00870921">
        <w:rPr>
          <w:b/>
        </w:rPr>
        <w:t xml:space="preserve">multirreincidente </w:t>
      </w:r>
      <w:r>
        <w:rPr>
          <w:b/>
        </w:rPr>
        <w:t>na prática de furto, a expressividade da lesão ao bem jurídico protegido e a elevada reprovabilidade social da conduta contraindicam a aplicação do princípio da bagatela, para reconhecimento da atipicidade da conduta.</w:t>
      </w:r>
    </w:p>
    <w:p w:rsidR="00C54AC2" w:rsidRDefault="00C54AC2" w:rsidP="004349BF">
      <w:pPr>
        <w:ind w:firstLine="0"/>
        <w:rPr>
          <w:b/>
        </w:rPr>
      </w:pPr>
      <w:r>
        <w:rPr>
          <w:b/>
        </w:rPr>
        <w:t>2. O fato de o agente ter destruído as hortaliça</w:t>
      </w:r>
      <w:r w:rsidR="00C44AA6">
        <w:rPr>
          <w:b/>
        </w:rPr>
        <w:t>s que não conseguiu subtrair e ter decapitado o animal de estimação da vítima são circunstâncias de especial reprovabilidade a obstar o reconhecimento do princípio da atipicidade.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164C6D" w:rsidRDefault="00AA28DF" w:rsidP="00164C6D">
      <w:pPr>
        <w:pStyle w:val="PargrafodaLista"/>
        <w:ind w:left="0"/>
        <w:contextualSpacing w:val="0"/>
      </w:pPr>
      <w:r>
        <w:t xml:space="preserve">Cuida-se de </w:t>
      </w:r>
      <w:r w:rsidR="007920F8">
        <w:t xml:space="preserve">recurso de apelação interposto por Maicon Rodrigo da Silva Ferrari, tendo como objeto sentença proferida pelo juízo da 2ª Vara Criminal de Maringá, que o condenou, pela prática dos crimes previstos no artigo 155, §§ 1º e 4º, </w:t>
      </w:r>
      <w:r w:rsidR="00164C6D">
        <w:t xml:space="preserve">inciso II, do Código Penal e no artigo 32, § 2º, da Lei nº 9.605 de 1998, às penas de 3 (três) anos, 4 (quatro) meses de reclusão, 7 (sete) meses de detenção </w:t>
      </w:r>
      <w:r w:rsidR="00AE416E">
        <w:t>e 39 (trinta e nove) dias-multa (evento 100.1 – autos de origem).</w:t>
      </w:r>
    </w:p>
    <w:p w:rsidR="00AE416E" w:rsidRDefault="00AE416E" w:rsidP="00164C6D">
      <w:pPr>
        <w:pStyle w:val="PargrafodaLista"/>
        <w:ind w:left="0"/>
        <w:contextualSpacing w:val="0"/>
      </w:pPr>
      <w:r>
        <w:t xml:space="preserve">Nas razões de inconformismo, o recorrente postula aplicação do princípio da insignificância, reconhecendo-se a atipicidade material do crime de furto (evento </w:t>
      </w:r>
      <w:r w:rsidR="00380BAE">
        <w:t>154.1 – autos de origem).</w:t>
      </w:r>
    </w:p>
    <w:p w:rsidR="00380BAE" w:rsidRDefault="00380BAE" w:rsidP="00164C6D">
      <w:pPr>
        <w:pStyle w:val="PargrafodaLista"/>
        <w:ind w:left="0"/>
        <w:contextualSpacing w:val="0"/>
      </w:pPr>
      <w:r>
        <w:t>Em contrarrazões, o Ministério Público argumentou não estarem implementados os requisitos jurisprudenciais do princípio da insignificância (evento 157.1 – autos de origem).</w:t>
      </w:r>
    </w:p>
    <w:p w:rsidR="00380BAE" w:rsidRDefault="00380BAE" w:rsidP="00164C6D">
      <w:pPr>
        <w:pStyle w:val="PargrafodaLista"/>
        <w:ind w:left="0"/>
        <w:contextualSpacing w:val="0"/>
      </w:pPr>
      <w:r>
        <w:lastRenderedPageBreak/>
        <w:t>Opinou a Procuradoria-Geral de Justiça pelo conhecimento e não provimento do recurso (evento 14.1 – autos de origem).</w:t>
      </w:r>
    </w:p>
    <w:p w:rsidR="00380BAE" w:rsidRDefault="00380BAE" w:rsidP="00164C6D">
      <w:pPr>
        <w:pStyle w:val="PargrafodaLista"/>
        <w:ind w:left="0"/>
        <w:contextualSpacing w:val="0"/>
      </w:pPr>
      <w:r>
        <w:t>É o necessário relato.</w:t>
      </w:r>
    </w:p>
    <w:p w:rsidR="00380BAE" w:rsidRDefault="00380BAE" w:rsidP="00164C6D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380BAE" w:rsidRDefault="00380BAE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380BAE" w:rsidRDefault="00380BAE" w:rsidP="00877419">
      <w:pPr>
        <w:pStyle w:val="PargrafodaLista"/>
        <w:ind w:left="0"/>
        <w:contextualSpacing w:val="0"/>
      </w:pPr>
    </w:p>
    <w:p w:rsidR="00380BAE" w:rsidRDefault="00380BAE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ATIPICIDADE MATERIAL</w:t>
      </w:r>
    </w:p>
    <w:p w:rsidR="00C54AC2" w:rsidRDefault="00C54AC2" w:rsidP="00C54AC2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Cinge-se a controvérsia recursal, à pretensão de reconhecimento da atipicidade material da conduta em razão da inexpressividade da ofensa </w:t>
      </w:r>
      <w:r>
        <w:rPr>
          <w:rFonts w:eastAsia="Times New Roman" w:cs="Times New Roman"/>
          <w:bCs/>
          <w:szCs w:val="24"/>
          <w:lang w:eastAsia="pt-BR"/>
        </w:rPr>
        <w:t>ao bem jurídico tutelado pela norma penal.</w:t>
      </w:r>
    </w:p>
    <w:p w:rsidR="00C54AC2" w:rsidRDefault="00C54AC2" w:rsidP="00C54AC2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O princípio da insignificância, conclamado pela defesa, possibilita ao intérprete afastar do âmbito de criminalização</w:t>
      </w:r>
      <w:r>
        <w:rPr>
          <w:rFonts w:eastAsia="Times New Roman" w:cs="Times New Roman"/>
          <w:bCs/>
          <w:szCs w:val="24"/>
          <w:lang w:eastAsia="pt-BR"/>
        </w:rPr>
        <w:t>. Sua aplicação</w:t>
      </w:r>
      <w:r>
        <w:rPr>
          <w:rFonts w:eastAsia="Times New Roman" w:cs="Times New Roman"/>
          <w:bCs/>
          <w:szCs w:val="24"/>
          <w:lang w:eastAsia="pt-BR"/>
        </w:rPr>
        <w:t>, conforme escólio do Superior Tribunal de Justiça, condiciona-se à aplicação de fatores específicos, inferidos das circunstâncias do caso concreto.</w:t>
      </w:r>
    </w:p>
    <w:p w:rsidR="004349BF" w:rsidRDefault="004349BF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Neste sentido:</w:t>
      </w:r>
    </w:p>
    <w:p w:rsidR="004349BF" w:rsidRPr="00431541" w:rsidRDefault="004349BF" w:rsidP="004349BF">
      <w:pPr>
        <w:spacing w:before="600" w:after="600"/>
        <w:ind w:left="2268" w:firstLine="0"/>
        <w:rPr>
          <w:rFonts w:eastAsia="Times New Roman" w:cs="Times New Roman"/>
          <w:bCs/>
          <w:sz w:val="20"/>
          <w:szCs w:val="24"/>
          <w:lang w:eastAsia="pt-BR"/>
        </w:rPr>
      </w:pPr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RECURSO ESPECIAL. FURTO.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MULTIRREINCIDÊNCIA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ESPECÍFICA. GOZO DE PRISÃO DOMICILIAR. PRINCÍPIO DA INSIGNIFICÂNCIA. NÃO INCIDÊNCIA</w:t>
      </w:r>
      <w:r w:rsidRPr="00431541">
        <w:rPr>
          <w:rFonts w:eastAsia="Times New Roman" w:cs="Times New Roman"/>
          <w:b/>
          <w:bCs/>
          <w:sz w:val="20"/>
          <w:szCs w:val="24"/>
          <w:lang w:eastAsia="pt-BR"/>
        </w:rPr>
        <w:t>. 1. Esta Corte Superior tem precedentes no sentido de que a incidência do princípio da insignificância pressupõe a concomitância de quatro vetores: a) a mínima ofensividade da conduta do agente; b) nenhuma periculosidade social da ação; c) o reduzidíssimo grau de reprovabilidade do comportamento; e d) a inexpressividade da lesão jurídica provocada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2. Terceira Seção, no julgamento do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EAREsp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221.999/RS, de relatoria do Ministro Reynaldo Soares da Fonseca, estabeleceu a tese de que a reiteração criminosa inviabiliza a aplicação do princípio da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lastRenderedPageBreak/>
        <w:t>insignificância, ressalvada a possibilidade de, no caso concreto, as instâncias ordinárias verificarem ser a medida socialmente recomendável, o que não se dá na hipótese.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3. A denúncia imputou ao acusado a subtração de 3 (três) desodorantes de uma farmácia, cujo valor agregado, segundo a representante da empresa ofendida, era de R$ 38,00, tendo os itens sido restituídos à vítima. Contudo, trata-se de réu multirreincidente específico que, além de estar em prisão domiciliar no momento em que praticou o furto, no dia 7/9/2016, também já foi condenado em 20/12/2013, por furto praticado em 24/1/2013; em 18/6/2014, por furto e resistência praticados em 26/11/2013; em 28/2/2008, por tentativa de furto e uso de documento falso praticados em 22/5/2007, e, por fim, condenado em 7/12/2007 por tentativa de furto praticada em 22/8/2007.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4. Recurso especial improvido.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(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REsp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n. 1.957.218/MG, relator Ministro Olindo Menezes (Desembargador Convocado do TRF 1ª Região), Sexta Turma, julgado em 23/8/2022,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DJe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de 30/8/2022)</w:t>
      </w:r>
      <w:r>
        <w:rPr>
          <w:rFonts w:eastAsia="Times New Roman" w:cs="Times New Roman"/>
          <w:bCs/>
          <w:sz w:val="20"/>
          <w:szCs w:val="24"/>
          <w:lang w:eastAsia="pt-BR"/>
        </w:rPr>
        <w:t>.</w:t>
      </w:r>
    </w:p>
    <w:p w:rsidR="004349BF" w:rsidRDefault="004349BF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Sobre o tema, esta Corte Paranaense sedimentou entendimento no sentido de que, sendo superior a 10% (dez por cento) do salário mínimo vigente ao tempo do fato, a expressividade de lesão ao patrimônio da vítima impede o reconhecimento da atipicidade material.</w:t>
      </w:r>
    </w:p>
    <w:p w:rsidR="004349BF" w:rsidRPr="00334BAE" w:rsidRDefault="004349BF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 propósito:</w:t>
      </w:r>
    </w:p>
    <w:p w:rsidR="004349BF" w:rsidRPr="00334BAE" w:rsidRDefault="004349BF" w:rsidP="004349BF">
      <w:pPr>
        <w:spacing w:before="600" w:after="600"/>
        <w:ind w:left="2268" w:firstLine="0"/>
        <w:rPr>
          <w:rFonts w:eastAsia="Times New Roman" w:cs="Times New Roman"/>
          <w:bCs/>
          <w:sz w:val="20"/>
          <w:szCs w:val="24"/>
          <w:lang w:eastAsia="pt-BR"/>
        </w:rPr>
      </w:pPr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FURTO SIMPLES (ART. 155, CAPUT, DO CÓDIGO PENAL) E FALSA IDENTIDADE (ART. 307 DO CÓDIGO PENAL). SENTENÇA PARCIALMENTE PROCEDENTE. RECURSO DO RÉU E DO MINISTÉRIO PÚBLICO.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1)-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– RÉU). PLEITO DE APLICAÇÃO DA ATENUANTE DA CONFISSÃO ESPONTÂNEA. MEDIDA JÁ ADOTADA NA SENTENÇA. AUSENTE O INTERESSE DE AGIR. NÃO CONHECIMENTO.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2)-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– RÉU). PLEITO DE ABSOLVIÇÃO QUANTO AO FURTO.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a</w:t>
      </w:r>
      <w:r w:rsidRPr="00334BAE">
        <w:rPr>
          <w:rFonts w:eastAsia="Times New Roman" w:cs="Times New Roman"/>
          <w:b/>
          <w:bCs/>
          <w:sz w:val="20"/>
          <w:szCs w:val="24"/>
          <w:lang w:eastAsia="pt-BR"/>
        </w:rPr>
        <w:t>)-</w:t>
      </w:r>
      <w:proofErr w:type="gramEnd"/>
      <w:r w:rsidRPr="00334BAE">
        <w:rPr>
          <w:rFonts w:eastAsia="Times New Roman" w:cs="Times New Roman"/>
          <w:b/>
          <w:bCs/>
          <w:sz w:val="20"/>
          <w:szCs w:val="24"/>
          <w:lang w:eastAsia="pt-BR"/>
        </w:rPr>
        <w:t xml:space="preserve"> PRINCÍPIO DA INSIGNIFICÂNCIA. NÃO ACOLHIMENTO. INEXPRESSIVIDADE DA LESÃO JURÍDICA NÃO EVIDENCIADA. VALOR DA RES FURTIVA SUPERIOR A 10% DO SALÁRIO MÍNIMO VIGENTE À ÉPOCA DOS FATOS</w:t>
      </w:r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. RÉU REINCIDENTE. PRESENTE A TIPICIDADE MATERIAL.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b)-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PRETENSÃO DE RECONHECIMENTO DO ESTADO DE NECESSIDADE. TESE AFASTADA. AUSÊNCIA DE PROVAS PARA A INCIDÊNCIA DA JUSTIFICANTE. ESTADO DE NECESSIDADE NÃO CONFIGURADO. CONDENAÇÃO MANTIDA.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3)-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02 – MP).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a)-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334BAE">
        <w:rPr>
          <w:rFonts w:eastAsia="Times New Roman" w:cs="Times New Roman"/>
          <w:bCs/>
          <w:sz w:val="20"/>
          <w:szCs w:val="24"/>
          <w:lang w:eastAsia="pt-BR"/>
        </w:rPr>
        <w:lastRenderedPageBreak/>
        <w:t xml:space="preserve">PLEITO DE CONDENAÇÃO PELO DELITO DE FALSA IDENTIDADE (FATO 02). PROVIMENTO. CONDUTA TÍPICA. DELITO DE NATUREZA FORMAL. AUSÊNCIA DE PROVEITO PRÓPRIO IRRELEVANTE. CRIME CONFIGURADO. CONDENAÇÃO QUE SE IMPÕE.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b)-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PEDIDO DE RECONHECIMENTO DA QUALIFICADORA DE ESCALADA QUANTO AO CRIME DE FURTO. ACOLHIMENTO. CIRCUNSTÂNCIA COMPROVADA PELA PALAVRA DOS POLICIAIS. ESFORÇO FÍSICO ACIMA DO COMUM.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PRESCINDIBILIDADE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DE LAUDO TÉCNICO SUPRIDO POR OUTROS MEIOS PROBATÓRIOS. PRECEDENTES. QUALIFICADORA RECONHECIDA. PENA DO ACUSADO READEQUADA.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4)-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PENA (APELO 01 – RÉU). PLEITO DE FIXAÇÃO DA BASILAR NO MÍNIMO LEGAL. DESPROVIMENTO. CIRCUNSTÂNCIAS NEGATIVAS. DELITO PRATICADO CONTRA PATRIMÔNIO DO ESTADO. REPROVABILIDADE ACENTUADA. PENA-BASE MANTIDA.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5)-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REGIME INICIAL. PRETENSÃO DE ABRANDAMENTO (APELO 01 – RÉU). TESE NÃO ACOLHIDA. RÉU REINCIDENTE COM CIRCUNSTÂNCIAS JUDICIAIS NEGATIVAS. REGIME INICIAL FECHADO ESCORREITO.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6)-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01 - RÉU) HONORÁRIOS ADVOCATÍCIOS. FIXAÇÃO PELA ATUAÇÃO DO DEFENSOR DATIVO EM FASE RECURSAL. REMUNERAÇÃO ESTABELECIDA COM FULCRO EM TABELA PREVISTA NA RESOLUÇÃO CONJUNTA Nº 015/2019 –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PGE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>/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SEFAAPELO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01 (RÉU) PARCIALMENTE CONHECIDO E DESPROVIDO, COM FIXAÇÃO DE VERBA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HONORÁRIA.APELO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02 (MP) CONHECIDO E PROVIDO.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334BAE">
        <w:rPr>
          <w:rFonts w:eastAsia="Times New Roman" w:cs="Times New Roman"/>
          <w:bCs/>
          <w:sz w:val="20"/>
          <w:szCs w:val="24"/>
          <w:lang w:eastAsia="pt-BR"/>
        </w:rPr>
        <w:t>(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TJPR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- 4ª Câmara Criminal - 0012663-91.2023.8.16.0021 - Cascavel -  Rel.: DESEMBARGADORA SONIA REGINA DE CASTRO -  J. 30.10.2023)</w:t>
      </w:r>
      <w:r>
        <w:rPr>
          <w:rFonts w:eastAsia="Times New Roman" w:cs="Times New Roman"/>
          <w:bCs/>
          <w:sz w:val="20"/>
          <w:szCs w:val="24"/>
          <w:lang w:eastAsia="pt-BR"/>
        </w:rPr>
        <w:t>.</w:t>
      </w:r>
    </w:p>
    <w:p w:rsidR="004349BF" w:rsidRDefault="004349BF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No caso concreto, os produtos furtados foram avaliados em R$ </w:t>
      </w:r>
      <w:r>
        <w:rPr>
          <w:rFonts w:eastAsia="Times New Roman" w:cs="Times New Roman"/>
          <w:bCs/>
          <w:szCs w:val="24"/>
          <w:lang w:eastAsia="pt-BR"/>
        </w:rPr>
        <w:t>5</w:t>
      </w:r>
      <w:r>
        <w:rPr>
          <w:rFonts w:eastAsia="Times New Roman" w:cs="Times New Roman"/>
          <w:bCs/>
          <w:szCs w:val="24"/>
          <w:lang w:eastAsia="pt-BR"/>
        </w:rPr>
        <w:t>00,00 (</w:t>
      </w:r>
      <w:r>
        <w:rPr>
          <w:rFonts w:eastAsia="Times New Roman" w:cs="Times New Roman"/>
          <w:bCs/>
          <w:szCs w:val="24"/>
          <w:lang w:eastAsia="pt-BR"/>
        </w:rPr>
        <w:t xml:space="preserve">quinhentos </w:t>
      </w:r>
      <w:r>
        <w:rPr>
          <w:rFonts w:eastAsia="Times New Roman" w:cs="Times New Roman"/>
          <w:bCs/>
          <w:szCs w:val="24"/>
          <w:lang w:eastAsia="pt-BR"/>
        </w:rPr>
        <w:t>reais), valor muito superior ao sobredito referencial monetário.</w:t>
      </w:r>
    </w:p>
    <w:p w:rsidR="00C54AC2" w:rsidRDefault="00C54AC2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Ademais, o fato de o acusado ter decapitado o animal de estimação da vítima, bem como ter destruído boa parte de sua plantação, são fatores concretos de especialíssima reprovabilidade social da conduta que afastam, no caso concreto, a pretendida </w:t>
      </w:r>
    </w:p>
    <w:p w:rsidR="004349BF" w:rsidRDefault="004349BF" w:rsidP="004349B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Assim, assentada a relevância da ofensa ao bem jurídico e elevada reprovabilidade social da conduta, não se cogita, à luz dos critérios estabelecidos na jurisprudência, a aplicação do princípio da bagatela.</w:t>
      </w:r>
    </w:p>
    <w:p w:rsidR="004349BF" w:rsidRDefault="004349BF" w:rsidP="004349BF">
      <w:pPr>
        <w:pStyle w:val="PargrafodaLista"/>
        <w:ind w:left="0"/>
        <w:contextualSpacing w:val="0"/>
      </w:pPr>
    </w:p>
    <w:p w:rsidR="00380BAE" w:rsidRDefault="00380BAE" w:rsidP="00380BAE">
      <w:pPr>
        <w:pStyle w:val="PargrafodaLista"/>
        <w:ind w:left="0"/>
        <w:contextualSpacing w:val="0"/>
      </w:pPr>
      <w:proofErr w:type="spellStart"/>
      <w:r>
        <w:lastRenderedPageBreak/>
        <w:t>II.III</w:t>
      </w:r>
      <w:proofErr w:type="spellEnd"/>
      <w:r>
        <w:t xml:space="preserve"> – DA CONCLUSÃO</w:t>
      </w:r>
    </w:p>
    <w:p w:rsidR="00AA28DF" w:rsidRDefault="00AA28DF" w:rsidP="00380BAE">
      <w:pPr>
        <w:pStyle w:val="PargrafodaLista"/>
        <w:ind w:left="0"/>
        <w:contextualSpacing w:val="0"/>
      </w:pPr>
      <w:r>
        <w:t>Pe</w:t>
      </w:r>
      <w:r w:rsidR="00C54AC2">
        <w:t>la conjugação das premissas dedu</w:t>
      </w:r>
      <w:r>
        <w:t>zidas, a conclusão a ser adota consiste</w:t>
      </w:r>
      <w:r w:rsidR="00380BAE">
        <w:t xml:space="preserve"> no conhecimento e desprovimento do </w:t>
      </w:r>
      <w:r w:rsidR="00C54AC2">
        <w:t>recurso</w:t>
      </w:r>
      <w:r>
        <w:t>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380BAE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– </w:t>
      </w:r>
      <w:r w:rsidR="00877419"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4C6D"/>
    <w:rsid w:val="00165C47"/>
    <w:rsid w:val="00380BAE"/>
    <w:rsid w:val="004349BF"/>
    <w:rsid w:val="00672942"/>
    <w:rsid w:val="007920F8"/>
    <w:rsid w:val="00877419"/>
    <w:rsid w:val="00AA28DF"/>
    <w:rsid w:val="00AE416E"/>
    <w:rsid w:val="00AE47D1"/>
    <w:rsid w:val="00C44AA6"/>
    <w:rsid w:val="00C5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A03F7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5295EE-D50A-4385-A9FA-FAD0A95B083C}"/>
</file>

<file path=customXml/itemProps2.xml><?xml version="1.0" encoding="utf-8"?>
<ds:datastoreItem xmlns:ds="http://schemas.openxmlformats.org/officeDocument/2006/customXml" ds:itemID="{DBDC2F05-43A7-40E4-9BCA-6B20FA434CCE}"/>
</file>

<file path=customXml/itemProps3.xml><?xml version="1.0" encoding="utf-8"?>
<ds:datastoreItem xmlns:ds="http://schemas.openxmlformats.org/officeDocument/2006/customXml" ds:itemID="{A0BE7531-05B4-4C1F-8A68-778737F903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1168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dcterms:created xsi:type="dcterms:W3CDTF">2024-02-08T17:42:00Z</dcterms:created>
  <dcterms:modified xsi:type="dcterms:W3CDTF">2024-03-19T23:10:00Z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339200</vt:r8>
  </property>
</Properties>
</file>