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B76" w:rsidRDefault="00AC6064" w:rsidP="00970B76">
      <w:pPr>
        <w:ind w:firstLine="0"/>
        <w:rPr>
          <w:b/>
        </w:rPr>
      </w:pPr>
      <w:r>
        <w:rPr>
          <w:b/>
        </w:rPr>
        <w:t xml:space="preserve">PENAL. PROCESSUAL PENAL. RECURSO EM SENTIDO ESTRITO. TRÁFICO DE DROGAS. ART. </w:t>
      </w:r>
      <w:r w:rsidR="00230F53">
        <w:rPr>
          <w:b/>
        </w:rPr>
        <w:t>33</w:t>
      </w:r>
      <w:r>
        <w:rPr>
          <w:b/>
        </w:rPr>
        <w:t>, DA LEI 11.343 DE 2006.</w:t>
      </w:r>
      <w:r w:rsidR="00970B76">
        <w:rPr>
          <w:b/>
        </w:rPr>
        <w:t xml:space="preserve"> </w:t>
      </w:r>
      <w:r>
        <w:rPr>
          <w:b/>
        </w:rPr>
        <w:t>CONCESSÃO DE LIBERDADE PROVISÓRIA.</w:t>
      </w:r>
      <w:r w:rsidR="00970B76">
        <w:rPr>
          <w:b/>
        </w:rPr>
        <w:t xml:space="preserve"> </w:t>
      </w:r>
      <w:r>
        <w:rPr>
          <w:b/>
        </w:rPr>
        <w:t>RECURSO DO MINISTÉRIO PÚBLICO. PEDIDO DE DECRETAÇÃO DE PRISÃO PREVENTIVA.</w:t>
      </w:r>
      <w:r w:rsidR="00970B76">
        <w:rPr>
          <w:b/>
        </w:rPr>
        <w:t xml:space="preserve"> </w:t>
      </w:r>
      <w:r>
        <w:rPr>
          <w:b/>
        </w:rPr>
        <w:t>RISCO CONCRETO DE REITERAÇÃO DELITIVA. REINCIDÊNCIA</w:t>
      </w:r>
      <w:r w:rsidR="00970B76">
        <w:rPr>
          <w:b/>
        </w:rPr>
        <w:t xml:space="preserve">. CRIME PRATICADO DURANTE EXECUÇÃO DE PENA POR FATO ANTERIOR. </w:t>
      </w:r>
      <w:r>
        <w:rPr>
          <w:b/>
        </w:rPr>
        <w:t>QUANTIDADE SIGNIFICATIVA DE ENTORPECENTE. 5</w:t>
      </w:r>
      <w:r w:rsidR="00230F53">
        <w:rPr>
          <w:b/>
        </w:rPr>
        <w:t>4</w:t>
      </w:r>
      <w:r>
        <w:rPr>
          <w:b/>
        </w:rPr>
        <w:t xml:space="preserve">0 GRAMAS DE MACONHA. CAPULHO. </w:t>
      </w:r>
      <w:r w:rsidR="00970B76">
        <w:rPr>
          <w:b/>
        </w:rPr>
        <w:t>APREENSÃO DE OBJETOS INDICATIVOS DA PRÁTICA DE COMÉRCIO.</w:t>
      </w:r>
      <w:r>
        <w:rPr>
          <w:b/>
        </w:rPr>
        <w:t xml:space="preserve"> CONDENAÇÃO </w:t>
      </w:r>
      <w:r w:rsidR="00970B76">
        <w:rPr>
          <w:b/>
        </w:rPr>
        <w:t xml:space="preserve">SUPERVENIENTE </w:t>
      </w:r>
      <w:r>
        <w:rPr>
          <w:b/>
        </w:rPr>
        <w:t xml:space="preserve">POR TRÁFICO NA ORIGEM. </w:t>
      </w:r>
      <w:r w:rsidR="00970B76">
        <w:rPr>
          <w:b/>
        </w:rPr>
        <w:t>DECRETAÇÃO DE PRISÃO PREVENTIVA. NECESSIDADE E ADEQUAÇÃO. RECURSO CONHECIDO E PROVIDO.</w:t>
      </w:r>
    </w:p>
    <w:p w:rsidR="00230F53" w:rsidRPr="00970B76" w:rsidRDefault="00230F53" w:rsidP="00970B76">
      <w:pPr>
        <w:ind w:firstLine="0"/>
        <w:rPr>
          <w:b/>
        </w:rPr>
      </w:pPr>
      <w:r>
        <w:rPr>
          <w:rFonts w:eastAsia="Times New Roman" w:cs="Times New Roman"/>
          <w:b/>
          <w:szCs w:val="24"/>
          <w:lang w:eastAsia="pt-BR"/>
        </w:rPr>
        <w:t xml:space="preserve">1. A reiteração ou habitualidade delitiva denota periculosidade concreta do agente, elemento configurador do </w:t>
      </w:r>
      <w:r>
        <w:rPr>
          <w:rFonts w:eastAsia="Times New Roman" w:cs="Times New Roman"/>
          <w:b/>
          <w:i/>
          <w:szCs w:val="24"/>
          <w:lang w:eastAsia="pt-BR"/>
        </w:rPr>
        <w:t xml:space="preserve">periculum </w:t>
      </w:r>
      <w:proofErr w:type="spellStart"/>
      <w:r>
        <w:rPr>
          <w:rFonts w:eastAsia="Times New Roman" w:cs="Times New Roman"/>
          <w:b/>
          <w:i/>
          <w:szCs w:val="24"/>
          <w:lang w:eastAsia="pt-BR"/>
        </w:rPr>
        <w:t>libertatis</w:t>
      </w:r>
      <w:proofErr w:type="spellEnd"/>
      <w:r>
        <w:rPr>
          <w:rFonts w:eastAsia="Times New Roman" w:cs="Times New Roman"/>
          <w:b/>
          <w:szCs w:val="24"/>
          <w:lang w:eastAsia="pt-BR"/>
        </w:rPr>
        <w:t>, caracterizando a necessidade e adequação da prisão preventiva para garantia da ordem pública.</w:t>
      </w:r>
    </w:p>
    <w:p w:rsidR="00230F53" w:rsidRPr="00970B76" w:rsidRDefault="00970B76" w:rsidP="00970B76">
      <w:pPr>
        <w:ind w:firstLine="0"/>
        <w:rPr>
          <w:b/>
        </w:rPr>
      </w:pPr>
      <w:r w:rsidRPr="00970B76">
        <w:rPr>
          <w:b/>
        </w:rPr>
        <w:t>2. Recurso conhecido e provido.</w:t>
      </w:r>
    </w:p>
    <w:p w:rsidR="00970B76" w:rsidRDefault="00970B76"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3C21A9" w:rsidRDefault="00AA28DF" w:rsidP="00AA28DF">
      <w:pPr>
        <w:pStyle w:val="PargrafodaLista"/>
        <w:ind w:left="0"/>
        <w:contextualSpacing w:val="0"/>
      </w:pPr>
      <w:r>
        <w:t>Cuida-se de</w:t>
      </w:r>
      <w:r w:rsidR="003C21A9">
        <w:t xml:space="preserve"> recurso em sentido estrito interposto pelo Ministério Público do Paraná em face de Jeremias Jordão </w:t>
      </w:r>
      <w:proofErr w:type="spellStart"/>
      <w:r w:rsidR="003C21A9">
        <w:t>Ledesma</w:t>
      </w:r>
      <w:proofErr w:type="spellEnd"/>
      <w:r w:rsidR="003C21A9">
        <w:t>, tendo como objeto decisão proferida pelo juízo da 3ª Vara Criminal de Foz do Iguaçu, que concedeu liberdade provisória ao imputado, sob fundamento de que a hipótese delitiva não representa abalo à ordem pública (evento 13.1 – autos de origem).</w:t>
      </w:r>
    </w:p>
    <w:p w:rsidR="003C21A9" w:rsidRDefault="00E470DD" w:rsidP="00AA28DF">
      <w:pPr>
        <w:pStyle w:val="PargrafodaLista"/>
        <w:ind w:left="0"/>
        <w:contextualSpacing w:val="0"/>
      </w:pPr>
      <w:r>
        <w:t xml:space="preserve">Eis, em síntese, as razões de inconformismo: a) </w:t>
      </w:r>
      <w:r w:rsidR="00AC6064">
        <w:t xml:space="preserve">os elementos de informação angariados por ocasião da prisão em flagrante evidenciam hipótese de prática do crime de tráfico de entorpecentes; b) a prisão preventiva é necessária para garantia da ordem pública, ante risco concreto de reiteração delitiva </w:t>
      </w:r>
      <w:r>
        <w:t>(evento 29.3 – autos de origem).</w:t>
      </w:r>
    </w:p>
    <w:p w:rsidR="003C21A9" w:rsidRDefault="00AC6064" w:rsidP="00AA28DF">
      <w:pPr>
        <w:pStyle w:val="PargrafodaLista"/>
        <w:ind w:left="0"/>
        <w:contextualSpacing w:val="0"/>
      </w:pPr>
      <w:r>
        <w:t>Nas contrarrazões, a defesa sustentou que:</w:t>
      </w:r>
      <w:r w:rsidR="009D134E">
        <w:t xml:space="preserve"> a) o imputado cumpria rigorosamente sua pena, em regime semiaberto; b) o entorpecente apreendido destinava-se a consumo pessoal; c) a conduta imputada ao réu não representa abalo à ordem pública (evento 38.1 – </w:t>
      </w:r>
      <w:proofErr w:type="spellStart"/>
      <w:r w:rsidR="009D134E">
        <w:t>Rese</w:t>
      </w:r>
      <w:proofErr w:type="spellEnd"/>
      <w:r w:rsidR="009D134E">
        <w:t xml:space="preserve"> em 1º grau).</w:t>
      </w:r>
    </w:p>
    <w:p w:rsidR="00AC6064" w:rsidRDefault="00AC6064" w:rsidP="00AC6064">
      <w:pPr>
        <w:pStyle w:val="PargrafodaLista"/>
        <w:ind w:left="0"/>
        <w:contextualSpacing w:val="0"/>
      </w:pPr>
      <w:r>
        <w:t>Opinou a Procuradoria-Geral de Justiça pelo conhecimento e desprovimento do recurso (evento</w:t>
      </w:r>
      <w:r w:rsidR="009D134E">
        <w:t xml:space="preserve"> 14.1</w:t>
      </w:r>
      <w:r>
        <w:t>).</w:t>
      </w:r>
    </w:p>
    <w:p w:rsidR="00AA28DF" w:rsidRDefault="00AC6064" w:rsidP="00877419">
      <w:pPr>
        <w:pStyle w:val="PargrafodaLista"/>
        <w:ind w:left="0"/>
        <w:contextualSpacing w:val="0"/>
      </w:pPr>
      <w:r>
        <w:t>É o necessário relato.</w:t>
      </w:r>
    </w:p>
    <w:p w:rsidR="00AC6064" w:rsidRDefault="00AC6064"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07767" w:rsidRDefault="00AA28DF" w:rsidP="00A07767">
      <w:pPr>
        <w:pStyle w:val="PargrafodaLista"/>
        <w:ind w:left="0"/>
        <w:contextualSpacing w:val="0"/>
      </w:pPr>
      <w:proofErr w:type="spellStart"/>
      <w:r>
        <w:t>II.I</w:t>
      </w:r>
      <w:proofErr w:type="spellEnd"/>
      <w:r>
        <w:t xml:space="preserve"> – DO JUÍZO DE ADMISSIBILIDADE</w:t>
      </w:r>
    </w:p>
    <w:p w:rsidR="00A07767" w:rsidRDefault="00A07767" w:rsidP="00A07767">
      <w:pPr>
        <w:pStyle w:val="PargrafodaLista"/>
        <w:ind w:left="0"/>
        <w:contextualSpacing w:val="0"/>
      </w:pPr>
      <w:r>
        <w:t>Satisfeitos os pressupostos de admissibilidade, conhece-se do recurso interposto.</w:t>
      </w:r>
    </w:p>
    <w:p w:rsidR="00AC6064" w:rsidRDefault="00AC6064" w:rsidP="00A07767">
      <w:pPr>
        <w:pStyle w:val="PargrafodaLista"/>
        <w:ind w:left="0"/>
        <w:contextualSpacing w:val="0"/>
      </w:pPr>
    </w:p>
    <w:p w:rsidR="00A07767" w:rsidRDefault="00A07767" w:rsidP="00A07767">
      <w:pPr>
        <w:pStyle w:val="PargrafodaLista"/>
        <w:ind w:left="0"/>
        <w:contextualSpacing w:val="0"/>
      </w:pPr>
      <w:proofErr w:type="spellStart"/>
      <w:r>
        <w:t>II.II</w:t>
      </w:r>
      <w:proofErr w:type="spellEnd"/>
      <w:r>
        <w:t xml:space="preserve"> – DA PRISÃO PREVENTIVA</w:t>
      </w:r>
    </w:p>
    <w:p w:rsidR="00A07767" w:rsidRDefault="00230F53" w:rsidP="00A07767">
      <w:pPr>
        <w:pStyle w:val="PargrafodaLista"/>
        <w:ind w:left="0"/>
        <w:contextualSpacing w:val="0"/>
      </w:pPr>
      <w:r>
        <w:t xml:space="preserve">Jeremias Jordão </w:t>
      </w:r>
      <w:proofErr w:type="spellStart"/>
      <w:r>
        <w:t>Ledesma</w:t>
      </w:r>
      <w:proofErr w:type="spellEnd"/>
      <w:r>
        <w:t xml:space="preserve"> foi preso em situação de flagrante delito pela prática do crime previsto no artigo 33, da Lei 11.343 de 2006, armazenando 540 gramas de maconha, em circunstâncias indicativas da hipótese de comércio (evento 1.1 – autos de origem).</w:t>
      </w:r>
    </w:p>
    <w:p w:rsidR="00230F53" w:rsidRDefault="00230F53" w:rsidP="00A07767">
      <w:pPr>
        <w:pStyle w:val="PargrafodaLista"/>
        <w:ind w:left="0"/>
        <w:contextualSpacing w:val="0"/>
      </w:pPr>
      <w:r>
        <w:t>A decisão que lhe concedeu liberdade provisória, conduto, ponderou a hipótese de que o entorpecente fosse para consumo próprio e que, por isso, ao menos naquele momento incipiente da persecução, não seria possível vislumbrar abalo à ordem pública decorrente do estado de liberdade do acusado (evento 13.1 – autos de origem).</w:t>
      </w:r>
    </w:p>
    <w:p w:rsidR="00230F53" w:rsidRDefault="00230F53" w:rsidP="00A07767">
      <w:pPr>
        <w:pStyle w:val="PargrafodaLista"/>
        <w:ind w:left="0"/>
        <w:contextualSpacing w:val="0"/>
      </w:pPr>
      <w:r>
        <w:t>Entretanto, sobreveio sentença condenatória, que julgou procedente a pretensão punitiva relativa ao tráfico e impôs penas de 5 (cinco) anos e 6 (seis) meses de reclusão em regime inicial fechado e 560 (quinhentos e sessenta) dias-multa (evento 123.1 – autos de origem).</w:t>
      </w:r>
    </w:p>
    <w:p w:rsidR="00230F53" w:rsidRDefault="00230F53" w:rsidP="00A07767">
      <w:pPr>
        <w:pStyle w:val="PargrafodaLista"/>
        <w:ind w:left="0"/>
        <w:contextualSpacing w:val="0"/>
      </w:pPr>
      <w:r>
        <w:t xml:space="preserve">Assim, a frágil hipótese de porte para consumo próprio, que justificou a concessão da liberdade provisória, foi completamente afastada </w:t>
      </w:r>
      <w:r w:rsidR="00294473">
        <w:t>após o exaurimento da cognição em primeiro grau.</w:t>
      </w:r>
    </w:p>
    <w:p w:rsidR="00230F53" w:rsidRDefault="00294473" w:rsidP="00230F53">
      <w:pPr>
        <w:spacing w:before="240"/>
        <w:rPr>
          <w:rFonts w:eastAsia="Times New Roman" w:cs="Times New Roman"/>
          <w:szCs w:val="24"/>
          <w:lang w:eastAsia="pt-BR"/>
        </w:rPr>
      </w:pPr>
      <w:r>
        <w:rPr>
          <w:rFonts w:eastAsia="Times New Roman" w:cs="Times New Roman"/>
          <w:szCs w:val="24"/>
          <w:lang w:eastAsia="pt-BR"/>
        </w:rPr>
        <w:t>Reputa-se, portanto, suficientemente comprovadas a materialidade e autoria do delito em questão, matizadas, sobretudo, na sentença condenatória.</w:t>
      </w:r>
    </w:p>
    <w:p w:rsidR="00294473" w:rsidRDefault="00294473" w:rsidP="00230F53">
      <w:pPr>
        <w:spacing w:before="240"/>
        <w:rPr>
          <w:rFonts w:eastAsia="Times New Roman" w:cs="Times New Roman"/>
          <w:szCs w:val="24"/>
          <w:lang w:eastAsia="pt-BR"/>
        </w:rPr>
      </w:pPr>
      <w:r>
        <w:rPr>
          <w:rFonts w:eastAsia="Times New Roman" w:cs="Times New Roman"/>
          <w:szCs w:val="24"/>
          <w:lang w:eastAsia="pt-BR"/>
        </w:rPr>
        <w:t xml:space="preserve">Ainda que referido pronunciamento não tenha transitado em julgado, a detida análise de seus fundamentos permite inferir segura prova do </w:t>
      </w:r>
      <w:r w:rsidRPr="00294473">
        <w:rPr>
          <w:rFonts w:eastAsia="Times New Roman" w:cs="Times New Roman"/>
          <w:i/>
          <w:szCs w:val="24"/>
          <w:lang w:eastAsia="pt-BR"/>
        </w:rPr>
        <w:t xml:space="preserve">fumus </w:t>
      </w:r>
      <w:proofErr w:type="spellStart"/>
      <w:r w:rsidRPr="00294473">
        <w:rPr>
          <w:rFonts w:eastAsia="Times New Roman" w:cs="Times New Roman"/>
          <w:i/>
          <w:szCs w:val="24"/>
          <w:lang w:eastAsia="pt-BR"/>
        </w:rPr>
        <w:t>comissi</w:t>
      </w:r>
      <w:proofErr w:type="spellEnd"/>
      <w:r w:rsidRPr="00294473">
        <w:rPr>
          <w:rFonts w:eastAsia="Times New Roman" w:cs="Times New Roman"/>
          <w:i/>
          <w:szCs w:val="24"/>
          <w:lang w:eastAsia="pt-BR"/>
        </w:rPr>
        <w:t xml:space="preserve"> delicti</w:t>
      </w:r>
      <w:r>
        <w:rPr>
          <w:rFonts w:eastAsia="Times New Roman" w:cs="Times New Roman"/>
          <w:szCs w:val="24"/>
          <w:lang w:eastAsia="pt-BR"/>
        </w:rPr>
        <w:t xml:space="preserve"> a justificar a custódia cautelar.</w:t>
      </w:r>
    </w:p>
    <w:p w:rsidR="00FE6728" w:rsidRDefault="00294473" w:rsidP="00FE6728">
      <w:pPr>
        <w:spacing w:before="240"/>
        <w:rPr>
          <w:rFonts w:eastAsia="Times New Roman" w:cs="Times New Roman"/>
          <w:szCs w:val="24"/>
          <w:lang w:eastAsia="pt-BR"/>
        </w:rPr>
      </w:pPr>
      <w:r>
        <w:rPr>
          <w:rFonts w:eastAsia="Times New Roman" w:cs="Times New Roman"/>
          <w:szCs w:val="24"/>
          <w:lang w:eastAsia="pt-BR"/>
        </w:rPr>
        <w:t xml:space="preserve">Quanto ao </w:t>
      </w:r>
      <w:r w:rsidRPr="00294473">
        <w:rPr>
          <w:rFonts w:eastAsia="Times New Roman" w:cs="Times New Roman"/>
          <w:i/>
          <w:szCs w:val="24"/>
          <w:lang w:eastAsia="pt-BR"/>
        </w:rPr>
        <w:t xml:space="preserve">periculum </w:t>
      </w:r>
      <w:proofErr w:type="spellStart"/>
      <w:r w:rsidRPr="00294473">
        <w:rPr>
          <w:rFonts w:eastAsia="Times New Roman" w:cs="Times New Roman"/>
          <w:i/>
          <w:szCs w:val="24"/>
          <w:lang w:eastAsia="pt-BR"/>
        </w:rPr>
        <w:t>libertatis</w:t>
      </w:r>
      <w:proofErr w:type="spellEnd"/>
      <w:r>
        <w:rPr>
          <w:rFonts w:eastAsia="Times New Roman" w:cs="Times New Roman"/>
          <w:szCs w:val="24"/>
          <w:lang w:eastAsia="pt-BR"/>
        </w:rPr>
        <w:t xml:space="preserve">, </w:t>
      </w:r>
      <w:r w:rsidR="00FE6728">
        <w:rPr>
          <w:rFonts w:eastAsia="Times New Roman" w:cs="Times New Roman"/>
          <w:szCs w:val="24"/>
          <w:lang w:eastAsia="pt-BR"/>
        </w:rPr>
        <w:t>defluem do registro de anotações criminais do imputados possui diversas condenações, transitadas em julgado, pelos crimes de roubo e organização criminosa (evento 114.1 – autos de origem).</w:t>
      </w:r>
    </w:p>
    <w:p w:rsidR="00FE6728" w:rsidRDefault="00FE6728" w:rsidP="00230F53">
      <w:pPr>
        <w:spacing w:before="240"/>
        <w:rPr>
          <w:rFonts w:eastAsia="Times New Roman" w:cs="Times New Roman"/>
          <w:szCs w:val="24"/>
          <w:lang w:eastAsia="pt-BR"/>
        </w:rPr>
      </w:pPr>
      <w:r>
        <w:rPr>
          <w:rFonts w:eastAsia="Times New Roman" w:cs="Times New Roman"/>
          <w:szCs w:val="24"/>
          <w:lang w:eastAsia="pt-BR"/>
        </w:rPr>
        <w:t>Referida constatação assenta elevado risco de reiteração delitiva, pois nem mesmo o cumprimento de pena por fato anterior foi suficiente para desestimular a prática de novas infrações.</w:t>
      </w:r>
    </w:p>
    <w:p w:rsidR="00230F53" w:rsidRDefault="00230F53" w:rsidP="00230F53">
      <w:pPr>
        <w:spacing w:before="240"/>
        <w:rPr>
          <w:rFonts w:eastAsia="Times New Roman" w:cs="Times New Roman"/>
          <w:bCs/>
          <w:szCs w:val="24"/>
          <w:lang w:eastAsia="pt-BR"/>
        </w:rPr>
      </w:pPr>
      <w:r>
        <w:rPr>
          <w:rFonts w:eastAsia="Times New Roman" w:cs="Times New Roman"/>
          <w:bCs/>
          <w:szCs w:val="24"/>
          <w:lang w:eastAsia="pt-BR"/>
        </w:rPr>
        <w:t xml:space="preserve">O Superior Tribunal de Justiça e o Tribunal de Justiça do Estado do Paraná assentaram entendimento de que inferência de reiteração ou habitualidade delitiva, indicada por anotações criminais, é fator constitutivo de </w:t>
      </w:r>
      <w:r>
        <w:rPr>
          <w:rFonts w:eastAsia="Times New Roman" w:cs="Times New Roman"/>
          <w:bCs/>
          <w:i/>
          <w:szCs w:val="24"/>
          <w:lang w:eastAsia="pt-BR"/>
        </w:rPr>
        <w:t xml:space="preserve">periculum </w:t>
      </w:r>
      <w:proofErr w:type="spellStart"/>
      <w:r>
        <w:rPr>
          <w:rFonts w:eastAsia="Times New Roman" w:cs="Times New Roman"/>
          <w:bCs/>
          <w:i/>
          <w:szCs w:val="24"/>
          <w:lang w:eastAsia="pt-BR"/>
        </w:rPr>
        <w:t>libertatis</w:t>
      </w:r>
      <w:proofErr w:type="spellEnd"/>
      <w:r>
        <w:rPr>
          <w:rFonts w:eastAsia="Times New Roman" w:cs="Times New Roman"/>
          <w:bCs/>
          <w:i/>
          <w:szCs w:val="24"/>
          <w:lang w:eastAsia="pt-BR"/>
        </w:rPr>
        <w:t xml:space="preserve"> </w:t>
      </w:r>
      <w:r>
        <w:rPr>
          <w:rFonts w:eastAsia="Times New Roman" w:cs="Times New Roman"/>
          <w:bCs/>
          <w:szCs w:val="24"/>
          <w:lang w:eastAsia="pt-BR"/>
        </w:rPr>
        <w:t>e indicativo da necessidade e adequação da prisão preventiva para garantia da ordem pública.</w:t>
      </w:r>
    </w:p>
    <w:p w:rsidR="00230F53" w:rsidRDefault="00230F53" w:rsidP="00230F53">
      <w:pPr>
        <w:spacing w:before="240"/>
        <w:rPr>
          <w:rFonts w:eastAsia="Times New Roman" w:cs="Times New Roman"/>
          <w:bCs/>
          <w:szCs w:val="24"/>
          <w:lang w:eastAsia="pt-BR"/>
        </w:rPr>
      </w:pPr>
      <w:r>
        <w:rPr>
          <w:rFonts w:eastAsia="Times New Roman" w:cs="Times New Roman"/>
          <w:bCs/>
          <w:szCs w:val="24"/>
          <w:lang w:eastAsia="pt-BR"/>
        </w:rPr>
        <w:t>Neste sentido:</w:t>
      </w:r>
    </w:p>
    <w:p w:rsidR="00230F53" w:rsidRDefault="00230F53" w:rsidP="00230F53">
      <w:pPr>
        <w:pStyle w:val="NormalWeb"/>
        <w:shd w:val="clear" w:color="auto" w:fill="FFFFFF"/>
        <w:spacing w:before="600" w:beforeAutospacing="0" w:after="600" w:afterAutospacing="0" w:line="360" w:lineRule="auto"/>
        <w:ind w:left="2268"/>
        <w:jc w:val="both"/>
        <w:rPr>
          <w:spacing w:val="2"/>
          <w:sz w:val="20"/>
          <w:szCs w:val="30"/>
        </w:rPr>
      </w:pPr>
      <w:r w:rsidRPr="00B467DD">
        <w:rPr>
          <w:spacing w:val="2"/>
          <w:sz w:val="20"/>
          <w:szCs w:val="30"/>
        </w:rPr>
        <w:t xml:space="preserve">AGRAVO REGIMENTAL NO RECURSO EM HABEAS CORPUS. TRÁFICO ILÍCITO DE ENTORPECENTES. PRISÃO PREVENTIVA. REVOGAÇÃO. IMPOSSIBILIDADE. PREENCHIMENTO DOS REQUISITOS LEGAIS. INQUÉRITOS POLICIAIS OU AÇÕES PENAIS EM CURSO. RISCO DE REITERAÇÃO DELITIVA. ENVOLVIMENTO COM ORGANIZAÇÃO CRIMINOSA. PERICULOSIDADE. CONTEMPORANEIDADE. TEMPO HÁBIL. PRISÃO PREVENTIVA DEVIDAMENTE FUNDAMENTADA. AGRAVO REGIMENTAL DESPROVIDO. </w:t>
      </w:r>
      <w:r w:rsidRPr="000703CD">
        <w:rPr>
          <w:b/>
          <w:spacing w:val="2"/>
          <w:sz w:val="20"/>
          <w:szCs w:val="30"/>
        </w:rPr>
        <w:t xml:space="preserve">1. A prisão preventiva é cabível mediante decisão fundamentada em dados concretos, quando evidenciada a existência de circunstâncias que demonstrem a necessidade da medida extrema, nos termos dos </w:t>
      </w:r>
      <w:proofErr w:type="spellStart"/>
      <w:r w:rsidRPr="000703CD">
        <w:rPr>
          <w:b/>
          <w:spacing w:val="2"/>
          <w:sz w:val="20"/>
          <w:szCs w:val="30"/>
        </w:rPr>
        <w:t>arts</w:t>
      </w:r>
      <w:proofErr w:type="spellEnd"/>
      <w:r w:rsidRPr="000703CD">
        <w:rPr>
          <w:b/>
          <w:spacing w:val="2"/>
          <w:sz w:val="20"/>
          <w:szCs w:val="30"/>
        </w:rPr>
        <w:t>. 312, 313 e 315 do Código de Processo Penal.</w:t>
      </w:r>
      <w:r w:rsidRPr="00B467DD">
        <w:rPr>
          <w:spacing w:val="2"/>
          <w:sz w:val="20"/>
          <w:szCs w:val="30"/>
        </w:rPr>
        <w:t xml:space="preserve"> </w:t>
      </w:r>
      <w:r w:rsidRPr="000703CD">
        <w:rPr>
          <w:b/>
          <w:spacing w:val="2"/>
          <w:sz w:val="20"/>
          <w:szCs w:val="30"/>
        </w:rPr>
        <w:t xml:space="preserve">2. Inquéritos policiais ou ações penais em curso justificam a imposição de prisão preventiva como forma de evitar a reiteração delitiva e, assim, garantir a ordem pública. </w:t>
      </w:r>
      <w:r w:rsidRPr="00B467DD">
        <w:rPr>
          <w:spacing w:val="2"/>
          <w:sz w:val="20"/>
          <w:szCs w:val="30"/>
        </w:rPr>
        <w:t>3. O suposto envolvimento do agente com organização criminosa revela sua periculosidade, o que justifica a prisão preventiva como forma de garantir a ordem pública. 4. Inexiste falta de contemporaneidade nas situações em que os atos praticados no processo respeitaram a sequência necessária à decretação, em tempo hábil, de prisão preventiva devidamente fundamentada. 5. Agravo regimental desprovido.</w:t>
      </w:r>
      <w:r>
        <w:rPr>
          <w:spacing w:val="2"/>
          <w:sz w:val="20"/>
          <w:szCs w:val="30"/>
        </w:rPr>
        <w:t xml:space="preserve"> </w:t>
      </w:r>
      <w:r w:rsidRPr="00B467DD">
        <w:rPr>
          <w:spacing w:val="2"/>
          <w:sz w:val="20"/>
          <w:szCs w:val="30"/>
        </w:rPr>
        <w:t xml:space="preserve">(STJ - </w:t>
      </w:r>
      <w:proofErr w:type="spellStart"/>
      <w:r w:rsidRPr="00B467DD">
        <w:rPr>
          <w:spacing w:val="2"/>
          <w:sz w:val="20"/>
          <w:szCs w:val="30"/>
        </w:rPr>
        <w:t>AgRg</w:t>
      </w:r>
      <w:proofErr w:type="spellEnd"/>
      <w:r w:rsidRPr="00B467DD">
        <w:rPr>
          <w:spacing w:val="2"/>
          <w:sz w:val="20"/>
          <w:szCs w:val="30"/>
        </w:rPr>
        <w:t xml:space="preserve"> no </w:t>
      </w:r>
      <w:proofErr w:type="spellStart"/>
      <w:r w:rsidRPr="00B467DD">
        <w:rPr>
          <w:spacing w:val="2"/>
          <w:sz w:val="20"/>
          <w:szCs w:val="30"/>
        </w:rPr>
        <w:t>RHC</w:t>
      </w:r>
      <w:proofErr w:type="spellEnd"/>
      <w:r w:rsidRPr="00B467DD">
        <w:rPr>
          <w:spacing w:val="2"/>
          <w:sz w:val="20"/>
          <w:szCs w:val="30"/>
        </w:rPr>
        <w:t xml:space="preserve">: 149192 SP 2021/0189521-8, Relator: Ministro JOÃO OTÁVIO DE NORONHA, Data de Julgamento: 14/09/2021, </w:t>
      </w:r>
      <w:proofErr w:type="spellStart"/>
      <w:r w:rsidRPr="00B467DD">
        <w:rPr>
          <w:spacing w:val="2"/>
          <w:sz w:val="20"/>
          <w:szCs w:val="30"/>
        </w:rPr>
        <w:t>T5</w:t>
      </w:r>
      <w:proofErr w:type="spellEnd"/>
      <w:r w:rsidRPr="00B467DD">
        <w:rPr>
          <w:spacing w:val="2"/>
          <w:sz w:val="20"/>
          <w:szCs w:val="30"/>
        </w:rPr>
        <w:t xml:space="preserve"> - QUINTA TURMA, Data de Publicação: </w:t>
      </w:r>
      <w:proofErr w:type="spellStart"/>
      <w:r w:rsidRPr="00B467DD">
        <w:rPr>
          <w:spacing w:val="2"/>
          <w:sz w:val="20"/>
          <w:szCs w:val="30"/>
        </w:rPr>
        <w:t>DJe</w:t>
      </w:r>
      <w:proofErr w:type="spellEnd"/>
      <w:r w:rsidRPr="00B467DD">
        <w:rPr>
          <w:spacing w:val="2"/>
          <w:sz w:val="20"/>
          <w:szCs w:val="30"/>
        </w:rPr>
        <w:t xml:space="preserve"> 20/09/2021)</w:t>
      </w:r>
    </w:p>
    <w:p w:rsidR="00230F53" w:rsidRDefault="00230F53" w:rsidP="00230F53">
      <w:pPr>
        <w:pStyle w:val="NormalWeb"/>
        <w:shd w:val="clear" w:color="auto" w:fill="FFFFFF"/>
        <w:spacing w:before="600" w:beforeAutospacing="0" w:after="600" w:afterAutospacing="0" w:line="360" w:lineRule="auto"/>
        <w:ind w:left="2268"/>
        <w:jc w:val="both"/>
        <w:rPr>
          <w:spacing w:val="2"/>
          <w:sz w:val="20"/>
          <w:szCs w:val="30"/>
        </w:rPr>
      </w:pPr>
      <w:r w:rsidRPr="00B467DD">
        <w:rPr>
          <w:spacing w:val="2"/>
          <w:sz w:val="20"/>
          <w:szCs w:val="30"/>
        </w:rPr>
        <w:t>AGRAVO REGIMENTAL EM HABEAS CORPUS. TRÁFICO DE DROGAS. SENTENÇA CONDENATÓRIA. SUPERVENIÊNCIA. PERDA DO OBJETO. AUSÊNCIA DE NOVA FUNDAMENTAÇÃO. RECONSIDERAÇÃO. MÉRITO DA IMPETRAÇÃO. DECRETO PRISIONAL. FUNDAMENTAÇÃO IDÔNEA. REITERAÇÃO DELITIVA. DIVERSOS ATOS INFRACIONAIS PRETÉRITOS. GARANTIA DA ORDEM PÚBLICA. NECESSIDADE. CONSTRANGIMENTO ILEGAL. NÃO OCORRÊNCIA</w:t>
      </w:r>
      <w:r w:rsidRPr="000703CD">
        <w:rPr>
          <w:b/>
          <w:spacing w:val="2"/>
          <w:sz w:val="20"/>
          <w:szCs w:val="30"/>
        </w:rPr>
        <w:t>. 1. Comprovada a materialidade, havendo indícios de autoria e estando demonstrada, com elementos concretos, a necessidade da prisão preventiva para garantia da ordem pública, afasta-se a alegação de constrangimento ilegal.</w:t>
      </w:r>
      <w:r w:rsidRPr="00B467DD">
        <w:rPr>
          <w:spacing w:val="2"/>
          <w:sz w:val="20"/>
          <w:szCs w:val="30"/>
        </w:rPr>
        <w:t xml:space="preserve"> </w:t>
      </w:r>
      <w:r w:rsidRPr="000703CD">
        <w:rPr>
          <w:b/>
          <w:spacing w:val="2"/>
          <w:sz w:val="20"/>
          <w:szCs w:val="30"/>
        </w:rPr>
        <w:t>2. Conforme pacífica jurisprudência desta Corte Superior, a preservação da ordem pública justifica a imposição da custódia cautelar quando o agente ostentar maus antecedentes, reincidência, atos infracionais pretéritos, inquéritos ou mesmo ações penais em curso, porquanto tais circunstâncias denotam sua contumácia delitiva e, por via de consequência, sua periculosidade. Precedentes.</w:t>
      </w:r>
      <w:r w:rsidRPr="00B467DD">
        <w:rPr>
          <w:spacing w:val="2"/>
          <w:sz w:val="20"/>
          <w:szCs w:val="30"/>
        </w:rPr>
        <w:t xml:space="preserve"> 3. No caso, a medida extrema faz-se necessária como meio de evitar a reiteração delitiva, pois as instâncias ordinárias apontaram como fundamento para a manutenção da medida extrema a existência de diversos atos infracionais análogos à receptação e a furto praticados pelo paciente. Nesse contexto, ressalta-se que a prisão em flagrante originadora da decisão de prisão preventiva ocorreu em 9/1/2019, sendo que, conforme consignado pela Corte de origem, o custodiado completou os 18 anos de idade no dia 31/12/2018. Ou seja, a prática delitiva aconteceu logo após completar a maioridade, a evidenciar, somada ao seu histórico infracional, um quadro de efetivo risco de contumácia criminosa. 4. Agravo regimental provido para reconsiderar a decisão que julgou prejudicado o habeas corpus. Ordem denegada.</w:t>
      </w:r>
      <w:r>
        <w:rPr>
          <w:spacing w:val="2"/>
          <w:sz w:val="20"/>
          <w:szCs w:val="30"/>
        </w:rPr>
        <w:t xml:space="preserve"> </w:t>
      </w:r>
      <w:r w:rsidRPr="00B467DD">
        <w:rPr>
          <w:spacing w:val="2"/>
          <w:sz w:val="20"/>
          <w:szCs w:val="30"/>
        </w:rPr>
        <w:t xml:space="preserve">(STJ - </w:t>
      </w:r>
      <w:proofErr w:type="spellStart"/>
      <w:r w:rsidRPr="00B467DD">
        <w:rPr>
          <w:spacing w:val="2"/>
          <w:sz w:val="20"/>
          <w:szCs w:val="30"/>
        </w:rPr>
        <w:t>AgRg</w:t>
      </w:r>
      <w:proofErr w:type="spellEnd"/>
      <w:r w:rsidRPr="00B467DD">
        <w:rPr>
          <w:spacing w:val="2"/>
          <w:sz w:val="20"/>
          <w:szCs w:val="30"/>
        </w:rPr>
        <w:t xml:space="preserve"> no HC: 494420 SC 2019/0049411-4, Relator: Ministro </w:t>
      </w:r>
      <w:proofErr w:type="spellStart"/>
      <w:r w:rsidRPr="00B467DD">
        <w:rPr>
          <w:spacing w:val="2"/>
          <w:sz w:val="20"/>
          <w:szCs w:val="30"/>
        </w:rPr>
        <w:t>ANTONIO</w:t>
      </w:r>
      <w:proofErr w:type="spellEnd"/>
      <w:r w:rsidRPr="00B467DD">
        <w:rPr>
          <w:spacing w:val="2"/>
          <w:sz w:val="20"/>
          <w:szCs w:val="30"/>
        </w:rPr>
        <w:t xml:space="preserve"> SALDANHA PALHEIRO, Data de Julgamento: 18/06/2019, </w:t>
      </w:r>
      <w:proofErr w:type="spellStart"/>
      <w:r w:rsidRPr="00B467DD">
        <w:rPr>
          <w:spacing w:val="2"/>
          <w:sz w:val="20"/>
          <w:szCs w:val="30"/>
        </w:rPr>
        <w:t>T6</w:t>
      </w:r>
      <w:proofErr w:type="spellEnd"/>
      <w:r w:rsidRPr="00B467DD">
        <w:rPr>
          <w:spacing w:val="2"/>
          <w:sz w:val="20"/>
          <w:szCs w:val="30"/>
        </w:rPr>
        <w:t xml:space="preserve"> - SEXTA TURMA, Data de Publicação: </w:t>
      </w:r>
      <w:proofErr w:type="spellStart"/>
      <w:r w:rsidRPr="00B467DD">
        <w:rPr>
          <w:spacing w:val="2"/>
          <w:sz w:val="20"/>
          <w:szCs w:val="30"/>
        </w:rPr>
        <w:t>DJe</w:t>
      </w:r>
      <w:proofErr w:type="spellEnd"/>
      <w:r w:rsidRPr="00B467DD">
        <w:rPr>
          <w:spacing w:val="2"/>
          <w:sz w:val="20"/>
          <w:szCs w:val="30"/>
        </w:rPr>
        <w:t xml:space="preserve"> 27/06/2019)</w:t>
      </w:r>
    </w:p>
    <w:p w:rsidR="00230F53" w:rsidRPr="000703CD" w:rsidRDefault="00230F53" w:rsidP="00230F53">
      <w:pPr>
        <w:pStyle w:val="NormalWeb"/>
        <w:shd w:val="clear" w:color="auto" w:fill="FFFFFF"/>
        <w:spacing w:before="600" w:beforeAutospacing="0" w:after="600" w:afterAutospacing="0" w:line="360" w:lineRule="auto"/>
        <w:ind w:left="2268"/>
        <w:jc w:val="both"/>
        <w:rPr>
          <w:spacing w:val="2"/>
          <w:sz w:val="20"/>
          <w:szCs w:val="30"/>
        </w:rPr>
      </w:pPr>
      <w:r w:rsidRPr="000703CD">
        <w:rPr>
          <w:spacing w:val="2"/>
          <w:sz w:val="20"/>
          <w:szCs w:val="30"/>
        </w:rPr>
        <w:t xml:space="preserve">HABEAS CORPUS. FURTO SIMPLES – ARTIGO 155, CAPUT, DO CÓDIGO PENAL. PRISÃO PREVENTIVA – GARANTIA DA ORDEM PÚBLICA – INDÍCIOS DE AUTORIA E MATERIALIDADE DELITIVA DEMONSTRADOS – </w:t>
      </w:r>
      <w:r w:rsidRPr="000703CD">
        <w:rPr>
          <w:b/>
          <w:spacing w:val="2"/>
          <w:sz w:val="20"/>
          <w:szCs w:val="30"/>
        </w:rPr>
        <w:t>PROBABILIDADE DE REITERAÇÃO DELITIVA</w:t>
      </w:r>
      <w:r w:rsidRPr="000703CD">
        <w:rPr>
          <w:spacing w:val="2"/>
          <w:sz w:val="20"/>
          <w:szCs w:val="30"/>
        </w:rPr>
        <w:t xml:space="preserve"> – DECISÃO DEVIDAMENTE FUNDAMENTADA EM ELEMENTOS CONCRETOS – CONSTRANGIMENTO ILEGAL NÃO CARACTERIZADO. ORDEM CONHECIDA E DENEGADA. (</w:t>
      </w:r>
      <w:proofErr w:type="spellStart"/>
      <w:r w:rsidRPr="000703CD">
        <w:rPr>
          <w:spacing w:val="2"/>
          <w:sz w:val="20"/>
          <w:szCs w:val="30"/>
        </w:rPr>
        <w:t>TJPR</w:t>
      </w:r>
      <w:proofErr w:type="spellEnd"/>
      <w:r w:rsidRPr="000703CD">
        <w:rPr>
          <w:spacing w:val="2"/>
          <w:sz w:val="20"/>
          <w:szCs w:val="30"/>
        </w:rPr>
        <w:t xml:space="preserve"> - 3ª C. Criminal - 0017098-11.2022.8.16.0000 - Curitiba - Rel.: JUIZ DE DIREITO SUBSTITUTO EM SEGUNDO GRAU </w:t>
      </w:r>
      <w:proofErr w:type="spellStart"/>
      <w:r w:rsidRPr="000703CD">
        <w:rPr>
          <w:spacing w:val="2"/>
          <w:sz w:val="20"/>
          <w:szCs w:val="30"/>
        </w:rPr>
        <w:t>ANTON</w:t>
      </w:r>
      <w:r>
        <w:rPr>
          <w:spacing w:val="2"/>
          <w:sz w:val="20"/>
          <w:szCs w:val="30"/>
        </w:rPr>
        <w:t>IO</w:t>
      </w:r>
      <w:proofErr w:type="spellEnd"/>
      <w:r>
        <w:rPr>
          <w:spacing w:val="2"/>
          <w:sz w:val="20"/>
          <w:szCs w:val="30"/>
        </w:rPr>
        <w:t xml:space="preserve"> CARLOS </w:t>
      </w:r>
      <w:proofErr w:type="spellStart"/>
      <w:r>
        <w:rPr>
          <w:spacing w:val="2"/>
          <w:sz w:val="20"/>
          <w:szCs w:val="30"/>
        </w:rPr>
        <w:t>CHOMA</w:t>
      </w:r>
      <w:proofErr w:type="spellEnd"/>
      <w:r>
        <w:rPr>
          <w:spacing w:val="2"/>
          <w:sz w:val="20"/>
          <w:szCs w:val="30"/>
        </w:rPr>
        <w:t xml:space="preserve"> - J. 31.05.2022)</w:t>
      </w:r>
    </w:p>
    <w:p w:rsidR="00230F53" w:rsidRDefault="00230F53" w:rsidP="00230F53">
      <w:pPr>
        <w:spacing w:before="240"/>
        <w:rPr>
          <w:rFonts w:eastAsia="Times New Roman" w:cs="Times New Roman"/>
          <w:bCs/>
          <w:szCs w:val="24"/>
          <w:lang w:eastAsia="pt-BR"/>
        </w:rPr>
      </w:pPr>
      <w:r>
        <w:rPr>
          <w:rFonts w:eastAsia="Times New Roman" w:cs="Times New Roman"/>
          <w:bCs/>
          <w:szCs w:val="24"/>
          <w:lang w:eastAsia="pt-BR"/>
        </w:rPr>
        <w:t xml:space="preserve">No caso, o risco concreto de reiteração delitiva encontra-se matizado na prisão em situação de flagrante pela prática do crime de tráfico de drogas, mesmo após </w:t>
      </w:r>
      <w:r w:rsidR="00FE6728">
        <w:rPr>
          <w:rFonts w:eastAsia="Times New Roman" w:cs="Times New Roman"/>
          <w:bCs/>
          <w:szCs w:val="24"/>
          <w:lang w:eastAsia="pt-BR"/>
        </w:rPr>
        <w:t>condenações transitadas em julgado por outras infrações penais.</w:t>
      </w:r>
    </w:p>
    <w:p w:rsidR="00230F53" w:rsidRDefault="00FE6728" w:rsidP="00230F53">
      <w:pPr>
        <w:spacing w:before="240"/>
        <w:rPr>
          <w:rFonts w:eastAsia="Times New Roman" w:cs="Times New Roman"/>
          <w:bCs/>
          <w:szCs w:val="24"/>
          <w:lang w:eastAsia="pt-BR"/>
        </w:rPr>
      </w:pPr>
      <w:r>
        <w:rPr>
          <w:rFonts w:eastAsia="Times New Roman" w:cs="Times New Roman"/>
          <w:bCs/>
          <w:szCs w:val="24"/>
          <w:lang w:eastAsia="pt-BR"/>
        </w:rPr>
        <w:t>Tais constatações denotam a</w:t>
      </w:r>
      <w:r w:rsidR="00230F53">
        <w:rPr>
          <w:rFonts w:eastAsia="Times New Roman" w:cs="Times New Roman"/>
          <w:bCs/>
          <w:szCs w:val="24"/>
          <w:lang w:eastAsia="pt-BR"/>
        </w:rPr>
        <w:t xml:space="preserve"> necessidade da medida cautelar extrema</w:t>
      </w:r>
      <w:r>
        <w:rPr>
          <w:rFonts w:eastAsia="Times New Roman" w:cs="Times New Roman"/>
          <w:bCs/>
          <w:szCs w:val="24"/>
          <w:lang w:eastAsia="pt-BR"/>
        </w:rPr>
        <w:t xml:space="preserve"> para acautelamento da ordem pública, consoante expressa previsão dos artigos 282, 312 e 315, do Código de Processo Penal.</w:t>
      </w:r>
    </w:p>
    <w:p w:rsidR="00230F53" w:rsidRPr="00CD18F4" w:rsidRDefault="00230F53" w:rsidP="00230F53">
      <w:pPr>
        <w:spacing w:before="240"/>
        <w:rPr>
          <w:rFonts w:eastAsia="Times New Roman" w:cs="Times New Roman"/>
          <w:bCs/>
          <w:szCs w:val="24"/>
          <w:lang w:eastAsia="pt-BR"/>
        </w:rPr>
      </w:pPr>
      <w:r>
        <w:rPr>
          <w:rFonts w:eastAsia="Times New Roman" w:cs="Times New Roman"/>
          <w:bCs/>
          <w:szCs w:val="24"/>
          <w:lang w:eastAsia="pt-BR"/>
        </w:rPr>
        <w:t xml:space="preserve">A prisão, portanto, foi decretada com estrita observância ao disposto nos artigos 282, 312 e 315, do Código de Processo Penal, inexistindo constrangimento ilegal a justificar concessão de </w:t>
      </w:r>
      <w:r>
        <w:rPr>
          <w:rFonts w:eastAsia="Times New Roman" w:cs="Times New Roman"/>
          <w:bCs/>
          <w:i/>
          <w:szCs w:val="24"/>
          <w:lang w:eastAsia="pt-BR"/>
        </w:rPr>
        <w:t>habeas corpus.</w:t>
      </w:r>
    </w:p>
    <w:p w:rsidR="00230F53" w:rsidRDefault="00230F53" w:rsidP="00A07767">
      <w:pPr>
        <w:pStyle w:val="PargrafodaLista"/>
        <w:ind w:left="0"/>
        <w:contextualSpacing w:val="0"/>
      </w:pPr>
    </w:p>
    <w:p w:rsidR="00A07767" w:rsidRDefault="00A07767" w:rsidP="00A07767">
      <w:pPr>
        <w:pStyle w:val="PargrafodaLista"/>
        <w:ind w:left="0"/>
        <w:contextualSpacing w:val="0"/>
      </w:pPr>
      <w:proofErr w:type="spellStart"/>
      <w:r>
        <w:t>II.III</w:t>
      </w:r>
      <w:proofErr w:type="spellEnd"/>
      <w:r w:rsidR="00AC6064">
        <w:t xml:space="preserve"> – </w:t>
      </w:r>
      <w:r>
        <w:t>DA CONCLUSÃO</w:t>
      </w:r>
    </w:p>
    <w:p w:rsidR="00AA28DF" w:rsidRDefault="00AA28DF" w:rsidP="00A07767">
      <w:pPr>
        <w:pStyle w:val="PargrafodaLista"/>
        <w:ind w:left="0"/>
        <w:contextualSpacing w:val="0"/>
      </w:pPr>
      <w:r>
        <w:t xml:space="preserve">Pela conjugação das premissas deduzidas, a conclusão a ser adota consiste </w:t>
      </w:r>
      <w:r w:rsidR="00A07767">
        <w:t xml:space="preserve">no conhecimento e provimento do recurso, com a consequente decretação da prisão preventiva do réu Jeremias Jordão </w:t>
      </w:r>
      <w:proofErr w:type="spellStart"/>
      <w:r w:rsidR="00A07767">
        <w:t>Ledesma</w:t>
      </w:r>
      <w:proofErr w:type="spellEnd"/>
      <w:r w:rsidR="00A07767">
        <w:t>, nos termos da fundamentação.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A07767">
        <w:rPr>
          <w:b/>
        </w:rPr>
        <w:t>–</w:t>
      </w:r>
      <w:r>
        <w:rPr>
          <w:b/>
        </w:rPr>
        <w:t xml:space="preserve"> 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230F53"/>
    <w:rsid w:val="00294473"/>
    <w:rsid w:val="003C21A9"/>
    <w:rsid w:val="00672942"/>
    <w:rsid w:val="00877419"/>
    <w:rsid w:val="00970B76"/>
    <w:rsid w:val="009D134E"/>
    <w:rsid w:val="00A07767"/>
    <w:rsid w:val="00AA28DF"/>
    <w:rsid w:val="00AC6064"/>
    <w:rsid w:val="00AE47D1"/>
    <w:rsid w:val="00E470DD"/>
    <w:rsid w:val="00FE67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D841"/>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unhideWhenUsed/>
    <w:rsid w:val="00230F53"/>
    <w:pPr>
      <w:spacing w:before="100" w:beforeAutospacing="1" w:after="100" w:afterAutospacing="1" w:line="240" w:lineRule="auto"/>
      <w:ind w:firstLine="0"/>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561e2fb7a4b2050ed644ab5f56afcb8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0940b4c58051c96231cc2ff0c54fd5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04EA81-9BEA-4190-AF3B-5F4EA041B1E4}"/>
</file>

<file path=customXml/itemProps2.xml><?xml version="1.0" encoding="utf-8"?>
<ds:datastoreItem xmlns:ds="http://schemas.openxmlformats.org/officeDocument/2006/customXml" ds:itemID="{DAD23543-121F-4EA5-BD73-33464931C4DE}"/>
</file>

<file path=customXml/itemProps3.xml><?xml version="1.0" encoding="utf-8"?>
<ds:datastoreItem xmlns:ds="http://schemas.openxmlformats.org/officeDocument/2006/customXml" ds:itemID="{DE848348-C721-4D8E-AE3A-4DD9753800BD}"/>
</file>

<file path=docProps/app.xml><?xml version="1.0" encoding="utf-8"?>
<Properties xmlns="http://schemas.openxmlformats.org/officeDocument/2006/extended-properties" xmlns:vt="http://schemas.openxmlformats.org/officeDocument/2006/docPropsVTypes">
  <Template>Normal</Template>
  <TotalTime>154</TotalTime>
  <Pages>1</Pages>
  <Words>1404</Words>
  <Characters>7586</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cp:revision>
  <dcterms:created xsi:type="dcterms:W3CDTF">2024-02-08T17:42:00Z</dcterms:created>
  <dcterms:modified xsi:type="dcterms:W3CDTF">2024-03-13T21:57:00Z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341000</vt:r8>
  </property>
  <property fmtid="{D5CDD505-2E9C-101B-9397-08002B2CF9AE}" pid="5" name="docLang">
    <vt:lpwstr>pt</vt:lpwstr>
  </property>
  <property fmtid="{D5CDD505-2E9C-101B-9397-08002B2CF9AE}" pid="6" name="MediaServiceImageTags">
    <vt:lpwstr/>
  </property>
</Properties>
</file>