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8DF" w:rsidRDefault="00865A45" w:rsidP="00865A45">
      <w:pPr>
        <w:ind w:firstLine="0"/>
        <w:rPr>
          <w:b/>
        </w:rPr>
      </w:pPr>
      <w:r>
        <w:rPr>
          <w:b/>
        </w:rPr>
        <w:t>PENAL. PROCESSUAL PENAL. AGRAVO EM EXECUÇÃO. RECURSO DO MINISTÉRIO PÚBLICO. AUTORIZAÇÃO PARA TRABALHO EXTERNO COM MONITORAMENTO ELETRÔNICO. PRISÃO DOMICILIAR EM RECOLHIMENTO INTEGRAL. FILHOS MENORES DE 12 ANOS. NECESSIDADE PRESUMIDA DE SUSTENTO PRÓPRIO E DA PROLE. POSSIBILIDADE DE FISCALIZAÇÃO DOS DESLOCAMENTOS. FINALIDADE DA PENA. REINSERÇÃO SOCIAL. RECURSO CONHECIDO E DESPROVIDO.</w:t>
      </w:r>
    </w:p>
    <w:p w:rsidR="00865A45" w:rsidRDefault="00865A45" w:rsidP="00865A45">
      <w:pPr>
        <w:ind w:firstLine="0"/>
        <w:rPr>
          <w:b/>
        </w:rPr>
      </w:pPr>
      <w:r>
        <w:rPr>
          <w:b/>
        </w:rPr>
        <w:t>1. A presunção de necessidade de recursos econômicos para satisfação das necessidades pessoais básicas e prestação de assistência material aos filhos e a finalidade de reinserção social da pena são fatores que justificam a flexibilização da prisão domiciliar para autorizar deslocamento para trabalho lícito.</w:t>
      </w:r>
    </w:p>
    <w:p w:rsidR="00865A45" w:rsidRDefault="00865A45" w:rsidP="00865A45">
      <w:pPr>
        <w:ind w:firstLine="0"/>
        <w:rPr>
          <w:b/>
        </w:rPr>
      </w:pPr>
      <w:r>
        <w:rPr>
          <w:b/>
        </w:rPr>
        <w:t>2. Recurso conhecido e desprovido.</w:t>
      </w:r>
    </w:p>
    <w:p w:rsidR="00865A45" w:rsidRPr="00865A45" w:rsidRDefault="00865A45" w:rsidP="00865A45">
      <w:pPr>
        <w:ind w:firstLine="0"/>
        <w:rPr>
          <w:b/>
        </w:rPr>
      </w:pPr>
    </w:p>
    <w:p w:rsidR="00AA28DF" w:rsidRDefault="00AA28DF" w:rsidP="00AA28DF">
      <w:pPr>
        <w:pStyle w:val="PargrafodaLista"/>
        <w:ind w:left="0"/>
        <w:contextualSpacing w:val="0"/>
        <w:rPr>
          <w:b/>
        </w:rPr>
      </w:pPr>
      <w:r>
        <w:rPr>
          <w:b/>
        </w:rPr>
        <w:t>I – RELATÓRIO</w:t>
      </w:r>
    </w:p>
    <w:p w:rsidR="00773D7C" w:rsidRDefault="00AA28DF" w:rsidP="00AA28DF">
      <w:pPr>
        <w:pStyle w:val="PargrafodaLista"/>
        <w:ind w:left="0"/>
        <w:contextualSpacing w:val="0"/>
      </w:pPr>
      <w:r>
        <w:t xml:space="preserve">Cuida-se de </w:t>
      </w:r>
      <w:r w:rsidR="00773D7C">
        <w:t xml:space="preserve">agravo em execução interposto pelo Ministério Público do Estado do Paraná em face de Fernanda Cristina Correa </w:t>
      </w:r>
      <w:proofErr w:type="spellStart"/>
      <w:r w:rsidR="00773D7C">
        <w:t>Savagin</w:t>
      </w:r>
      <w:proofErr w:type="spellEnd"/>
      <w:r w:rsidR="00773D7C">
        <w:t xml:space="preserve">, tendo como objeto decisão do juízo da Vara de Execuções Penais, Medidas Alternativas e Corregedoria dos Presídios do Foro Central da Comarca da Região Metropolitana de Curitiba, que deferiu pedido de deslocamento diário para fins laborais (evento 231.1 – </w:t>
      </w:r>
      <w:proofErr w:type="spellStart"/>
      <w:r w:rsidR="00773D7C">
        <w:t>SEEU</w:t>
      </w:r>
      <w:proofErr w:type="spellEnd"/>
      <w:r w:rsidR="00773D7C">
        <w:t>).</w:t>
      </w:r>
    </w:p>
    <w:p w:rsidR="00773D7C" w:rsidRDefault="00773D7C" w:rsidP="00AA28DF">
      <w:pPr>
        <w:pStyle w:val="PargrafodaLista"/>
        <w:ind w:left="0"/>
        <w:contextualSpacing w:val="0"/>
      </w:pPr>
      <w:r>
        <w:t xml:space="preserve">Eis, em síntese, as razões de inconformismo: a) não há prova da imprescindibilidade do trabalho; b) a sequência de deferimento da prisão domiciliar e autorização do trabalho desvirtua a execução da pena, vez que configura a colocação de pessoa que estava em regime fechado em condição de liberdade (evento 241.1 – </w:t>
      </w:r>
      <w:proofErr w:type="spellStart"/>
      <w:r>
        <w:t>SEEU</w:t>
      </w:r>
      <w:proofErr w:type="spellEnd"/>
      <w:r>
        <w:t>).</w:t>
      </w:r>
    </w:p>
    <w:p w:rsidR="00773D7C" w:rsidRDefault="00773D7C" w:rsidP="00AA28DF">
      <w:pPr>
        <w:pStyle w:val="PargrafodaLista"/>
        <w:ind w:left="0"/>
        <w:contextualSpacing w:val="0"/>
      </w:pPr>
      <w:r>
        <w:t xml:space="preserve">Argumentou a defesa, nas contrarrazões, que: a) o trabalho é absolutamente necessário para satisfação das necessidades básicas da apenada e de sua família; b) </w:t>
      </w:r>
      <w:r w:rsidR="006D6165">
        <w:t xml:space="preserve">a valorização do trabalho é imperativo constitucional, previsto no artigo 170, da Constituição da República de 1988; c) o pleito encontra amparo no artigo 28, da Lei de Execução Penal (evento 248.1 – </w:t>
      </w:r>
      <w:proofErr w:type="spellStart"/>
      <w:r w:rsidR="006D6165">
        <w:t>SEEU</w:t>
      </w:r>
      <w:proofErr w:type="spellEnd"/>
      <w:r w:rsidR="006D6165">
        <w:t>).</w:t>
      </w:r>
    </w:p>
    <w:p w:rsidR="00773D7C" w:rsidRDefault="00773D7C" w:rsidP="00AA28DF">
      <w:pPr>
        <w:pStyle w:val="PargrafodaLista"/>
        <w:ind w:left="0"/>
        <w:contextualSpacing w:val="0"/>
      </w:pPr>
      <w:r>
        <w:t>Opinou a Procuradoria-Geral de Justiça pelo conhecimento e desprovimento do recurso (evento 16.1).</w:t>
      </w:r>
    </w:p>
    <w:p w:rsidR="00773D7C" w:rsidRDefault="00773D7C"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6D6165" w:rsidRDefault="006D6165" w:rsidP="00877419">
      <w:pPr>
        <w:pStyle w:val="PargrafodaLista"/>
        <w:ind w:left="0"/>
        <w:contextualSpacing w:val="0"/>
      </w:pPr>
      <w:r>
        <w:t>Satisfeitos os pressupostos de admissibilidade recursal, conhece-se do agravo interposto.</w:t>
      </w:r>
    </w:p>
    <w:p w:rsidR="006D6165" w:rsidRDefault="006D6165" w:rsidP="00877419">
      <w:pPr>
        <w:pStyle w:val="PargrafodaLista"/>
        <w:ind w:left="0"/>
        <w:contextualSpacing w:val="0"/>
      </w:pPr>
    </w:p>
    <w:p w:rsidR="006D6165" w:rsidRDefault="006D6165" w:rsidP="00877419">
      <w:pPr>
        <w:pStyle w:val="PargrafodaLista"/>
        <w:ind w:left="0"/>
        <w:contextualSpacing w:val="0"/>
      </w:pPr>
      <w:proofErr w:type="spellStart"/>
      <w:r>
        <w:t>II.II</w:t>
      </w:r>
      <w:proofErr w:type="spellEnd"/>
      <w:r>
        <w:t xml:space="preserve"> – DA AUTORIZAÇÃO PARA O TRABALHO</w:t>
      </w:r>
    </w:p>
    <w:p w:rsidR="006D6165" w:rsidRDefault="006D6165" w:rsidP="00877419">
      <w:pPr>
        <w:pStyle w:val="PargrafodaLista"/>
        <w:ind w:left="0"/>
        <w:contextualSpacing w:val="0"/>
      </w:pPr>
      <w:r>
        <w:t xml:space="preserve">Cinge-se a controvérsia recursal à pretensão de reforma de decisão que autorizou o deslocamento diário para trabalho externo da </w:t>
      </w:r>
      <w:proofErr w:type="spellStart"/>
      <w:r>
        <w:t>reeducanda</w:t>
      </w:r>
      <w:proofErr w:type="spellEnd"/>
      <w:r>
        <w:t xml:space="preserve">, que cumpre pena em regime fechado, beneficiada </w:t>
      </w:r>
      <w:r w:rsidR="002F209D">
        <w:t>com prisão domiciliar em recolhimento integral.</w:t>
      </w:r>
    </w:p>
    <w:p w:rsidR="002F209D" w:rsidRDefault="002F209D" w:rsidP="002F209D">
      <w:pPr>
        <w:pStyle w:val="PargrafodaLista"/>
        <w:ind w:left="0"/>
        <w:contextualSpacing w:val="0"/>
      </w:pPr>
      <w:r>
        <w:t xml:space="preserve">No caso dos autos, restou comprovada a proposta de emprego oferecida por empresa idônea e em plena atividade econômica (eventos 230.1 e 248.1 a 5 – </w:t>
      </w:r>
      <w:proofErr w:type="spellStart"/>
      <w:r>
        <w:t>SEEU</w:t>
      </w:r>
      <w:proofErr w:type="spellEnd"/>
      <w:r>
        <w:t>).</w:t>
      </w:r>
    </w:p>
    <w:p w:rsidR="002F209D" w:rsidRDefault="002F209D" w:rsidP="002F209D">
      <w:pPr>
        <w:pStyle w:val="PargrafodaLista"/>
        <w:ind w:left="0"/>
        <w:contextualSpacing w:val="0"/>
      </w:pPr>
      <w:r>
        <w:t>Assim, o exercício do trabalho formal, além de convergir para a reinserção social, corolário da execução da pena (</w:t>
      </w:r>
      <w:proofErr w:type="spellStart"/>
      <w:r>
        <w:t>LEP</w:t>
      </w:r>
      <w:proofErr w:type="spellEnd"/>
      <w:r>
        <w:t>, art. 28), converge com o objetivo da concessão da prisão domiciliar (ECA, art. 33), posto que a prestação de assistência material é obrigação jurídica da genitora, a ser materializada com renda auferida pelo trabalho lícito.</w:t>
      </w:r>
    </w:p>
    <w:p w:rsidR="002F209D" w:rsidRDefault="002F209D" w:rsidP="002F209D">
      <w:pPr>
        <w:pStyle w:val="PargrafodaLista"/>
        <w:ind w:left="0"/>
        <w:contextualSpacing w:val="0"/>
      </w:pPr>
      <w:r>
        <w:t>Nesse contexto, a permissão para o trabalho, para além da questão da pena, atribui eficácia concreta ao disposto no artigo 227, da Constituição da República de 1988, possibilitando-se à apenada, na condição de genitora, assegurar os direitos fundamentais de sua prole.</w:t>
      </w:r>
    </w:p>
    <w:p w:rsidR="002F209D" w:rsidRDefault="002F209D" w:rsidP="002F209D">
      <w:pPr>
        <w:pStyle w:val="PargrafodaLista"/>
        <w:ind w:left="0"/>
        <w:contextualSpacing w:val="0"/>
      </w:pPr>
      <w:r>
        <w:t>Sobre o tema:</w:t>
      </w:r>
    </w:p>
    <w:p w:rsidR="00DB5C6D" w:rsidRDefault="002F209D" w:rsidP="00DB5C6D">
      <w:pPr>
        <w:pStyle w:val="PargrafodaLista"/>
        <w:spacing w:before="600" w:after="600"/>
        <w:ind w:left="2268" w:firstLine="0"/>
        <w:contextualSpacing w:val="0"/>
        <w:rPr>
          <w:sz w:val="20"/>
        </w:rPr>
      </w:pPr>
      <w:r w:rsidRPr="002F209D">
        <w:rPr>
          <w:sz w:val="20"/>
        </w:rPr>
        <w:t xml:space="preserve">AGRAVO REGIMENTAL NO HABEAS CORPUS. DECISÃO MONOCRÁTICA CONCESSIVA DA ORDEM. PRISÃO </w:t>
      </w:r>
      <w:proofErr w:type="spellStart"/>
      <w:r w:rsidRPr="002F209D">
        <w:rPr>
          <w:sz w:val="20"/>
        </w:rPr>
        <w:t>PRISÃO</w:t>
      </w:r>
      <w:proofErr w:type="spellEnd"/>
      <w:r w:rsidRPr="002F209D">
        <w:rPr>
          <w:sz w:val="20"/>
        </w:rPr>
        <w:t xml:space="preserve"> DOMICILIAR CONCEDIDA COM FLEXIBILIZAÇÃO DAS REGRAS. RECURSO DO MINISTÉRIO PÚBLICO. PEDIDO DE INCLUSÃO DE TORNOZELEIRA ELETRÔNICA. DESNECESSIDADE. NECESSIDADE DE TRABALHAR E SUSTENTAR DA PROLE. PRECEDENTE STF. RECURSO CONHECIDO E NÃO PROVIDO. 1. Agravo regimental interposto contra decisão monocrática deste Relator que concedeu a ordem, de ofício, para substituir a sua prisão preventiva da agravada pela prisão domiciliar, mediante a imposição de medidas cautelares e com a flexibilização de suas regras, para permitir o trabalho e o cuidado da prole. O Parquet concorda com a prisão domiciliar mas pede a inclusão da monitoração eletrônica. 2. Flexibilização das regras da prisão domiciliar para mulher com filho menor de 12 (doze) anos. "Em caso de conversão da prisão em domiciliar, considerando que porcentagem significativa das mulheres presas é, também, a única responsável pelos cuidados do lar, as condições da prisão domiciliar têm de refletir essa realidade: à</w:t>
      </w:r>
      <w:r w:rsidRPr="002F209D">
        <w:rPr>
          <w:sz w:val="20"/>
        </w:rPr>
        <w:t xml:space="preserve"> </w:t>
      </w:r>
      <w:r w:rsidRPr="002F209D">
        <w:rPr>
          <w:sz w:val="20"/>
        </w:rPr>
        <w:t>mulher presa em domicílio devem ser garantidos os direitos de levar os filhos à escola, exercer seu trabalho, ainda que informal, adquirir remédios, víveres, cuidar da saúde, da educação e da manutenção de todos os que dela dependem. [...]" (STF, HC 170.825, Relator</w:t>
      </w:r>
      <w:r>
        <w:rPr>
          <w:sz w:val="20"/>
        </w:rPr>
        <w:t xml:space="preserve"> </w:t>
      </w:r>
      <w:r w:rsidRPr="002F209D">
        <w:rPr>
          <w:sz w:val="20"/>
        </w:rPr>
        <w:t xml:space="preserve">(a): Min. RICARDO </w:t>
      </w:r>
      <w:proofErr w:type="spellStart"/>
      <w:r w:rsidRPr="002F209D">
        <w:rPr>
          <w:sz w:val="20"/>
        </w:rPr>
        <w:t>LEWANDOWSKI</w:t>
      </w:r>
      <w:proofErr w:type="spellEnd"/>
      <w:r w:rsidRPr="002F209D">
        <w:rPr>
          <w:sz w:val="20"/>
        </w:rPr>
        <w:t xml:space="preserve">, julgado em 09/09/2019, publicado em PROCESSO ELETRÔNICO </w:t>
      </w:r>
      <w:proofErr w:type="spellStart"/>
      <w:r w:rsidRPr="002F209D">
        <w:rPr>
          <w:sz w:val="20"/>
        </w:rPr>
        <w:t>DJe</w:t>
      </w:r>
      <w:proofErr w:type="spellEnd"/>
      <w:r w:rsidRPr="002F209D">
        <w:rPr>
          <w:sz w:val="20"/>
        </w:rPr>
        <w:t xml:space="preserve">- 198 </w:t>
      </w:r>
      <w:proofErr w:type="spellStart"/>
      <w:r w:rsidRPr="002F209D">
        <w:rPr>
          <w:sz w:val="20"/>
        </w:rPr>
        <w:t>DIVULG</w:t>
      </w:r>
      <w:proofErr w:type="spellEnd"/>
      <w:r w:rsidRPr="002F209D">
        <w:rPr>
          <w:sz w:val="20"/>
        </w:rPr>
        <w:t xml:space="preserve"> 11/09/2019, </w:t>
      </w:r>
      <w:proofErr w:type="spellStart"/>
      <w:r w:rsidRPr="002F209D">
        <w:rPr>
          <w:sz w:val="20"/>
        </w:rPr>
        <w:t>PUBLIC</w:t>
      </w:r>
      <w:proofErr w:type="spellEnd"/>
      <w:r w:rsidRPr="002F209D">
        <w:rPr>
          <w:sz w:val="20"/>
        </w:rPr>
        <w:t xml:space="preserve"> 12/09/2019) 3. A flexibilização das regras da prisão</w:t>
      </w:r>
      <w:r>
        <w:rPr>
          <w:sz w:val="20"/>
        </w:rPr>
        <w:t xml:space="preserve"> </w:t>
      </w:r>
      <w:r w:rsidRPr="002F209D">
        <w:rPr>
          <w:sz w:val="20"/>
        </w:rPr>
        <w:t xml:space="preserve">domiciliar segue precedente do Ministro Ricardo </w:t>
      </w:r>
      <w:proofErr w:type="spellStart"/>
      <w:r w:rsidRPr="002F209D">
        <w:rPr>
          <w:sz w:val="20"/>
        </w:rPr>
        <w:t>Lewandowiski</w:t>
      </w:r>
      <w:proofErr w:type="spellEnd"/>
      <w:r w:rsidRPr="002F209D">
        <w:rPr>
          <w:sz w:val="20"/>
        </w:rPr>
        <w:t xml:space="preserve"> (HC n. 170.825, julgado em 9/9/2019), para dar interpretação de acordo com o regime da prisão domiciliar concedida no HC coletivo n. 163.641/SP, e estabelecer a possibilidade de relativização dos seus termos, a fim de permitir que a mulher beneficiada, única responsável pelas crianças menores de 12 (doze) anos, tenha condições de cuidar da casa, dos filhos e de trabalhar, ainda que informalmente, para o sustento da prole, evitando, assim, a reiteração delitiva no ambiente doméstico. 4. A prisão domiciliar foi concedida à agravante (mãe de filho menor de 12 anos, primária e com emprego fixo) com flexibilização de suas regras, compreendendo (i) recolhimento domiciliar de 22 horas às 6 horas do dia seguinte; (</w:t>
      </w:r>
      <w:proofErr w:type="spellStart"/>
      <w:r w:rsidRPr="002F209D">
        <w:rPr>
          <w:sz w:val="20"/>
        </w:rPr>
        <w:t>ii</w:t>
      </w:r>
      <w:proofErr w:type="spellEnd"/>
      <w:r w:rsidRPr="002F209D">
        <w:rPr>
          <w:sz w:val="20"/>
        </w:rPr>
        <w:t>) comparecimento em juízo, quando solicitado; e (</w:t>
      </w:r>
      <w:proofErr w:type="spellStart"/>
      <w:r w:rsidRPr="002F209D">
        <w:rPr>
          <w:sz w:val="20"/>
        </w:rPr>
        <w:t>iii</w:t>
      </w:r>
      <w:proofErr w:type="spellEnd"/>
      <w:r w:rsidRPr="002F209D">
        <w:rPr>
          <w:sz w:val="20"/>
        </w:rPr>
        <w:t xml:space="preserve">) não alteração do seu endereço sem prévia comunicação ao juízo; sem prejuízo da fixação de outras cautelares, a critério e sob acompanhamento do Juízo de primeiro grau. 5. A flexibilização das regras da prisão domiciliar torna desnecessária a utilização da monitoração eletrônica pois o agente não ficará restrito ao ambiente domiciliar. 6. Agravo regimental conhecido e não provido. </w:t>
      </w:r>
      <w:r>
        <w:rPr>
          <w:sz w:val="20"/>
        </w:rPr>
        <w:t xml:space="preserve">(STJ. Quinta Turma. Relator: Ministro Reynaldo Soares da Fonseca. </w:t>
      </w:r>
      <w:proofErr w:type="spellStart"/>
      <w:r w:rsidRPr="002F209D">
        <w:rPr>
          <w:sz w:val="20"/>
        </w:rPr>
        <w:t>AgRg</w:t>
      </w:r>
      <w:proofErr w:type="spellEnd"/>
      <w:r w:rsidRPr="002F209D">
        <w:rPr>
          <w:sz w:val="20"/>
        </w:rPr>
        <w:t xml:space="preserve"> no HC 627.906/MG</w:t>
      </w:r>
      <w:r>
        <w:rPr>
          <w:sz w:val="20"/>
        </w:rPr>
        <w:t>. Data de Julgamento: 15/12/2020. Data de Publicação 17/12/2020).</w:t>
      </w:r>
    </w:p>
    <w:p w:rsidR="00865A45" w:rsidRDefault="00DB5C6D" w:rsidP="00865A45">
      <w:pPr>
        <w:pStyle w:val="PargrafodaLista"/>
        <w:spacing w:before="600" w:after="600"/>
        <w:ind w:left="2268" w:firstLine="0"/>
        <w:contextualSpacing w:val="0"/>
        <w:rPr>
          <w:sz w:val="20"/>
        </w:rPr>
      </w:pPr>
      <w:r w:rsidRPr="00DB5C6D">
        <w:rPr>
          <w:sz w:val="20"/>
        </w:rPr>
        <w:t>AGRAVO EM EXECUÇÃO PENAL. PLEITO DE REVOGAÇÃO DA DEC</w:t>
      </w:r>
      <w:r>
        <w:rPr>
          <w:sz w:val="20"/>
        </w:rPr>
        <w:t xml:space="preserve">ISÃO QUE </w:t>
      </w:r>
      <w:r w:rsidRPr="00DB5C6D">
        <w:rPr>
          <w:sz w:val="20"/>
        </w:rPr>
        <w:t>CONCEDEU AUTORIZAÇÃO DE TRABALHO EXTERNO À APENADA –</w:t>
      </w:r>
      <w:r>
        <w:rPr>
          <w:sz w:val="20"/>
        </w:rPr>
        <w:t xml:space="preserve"> </w:t>
      </w:r>
      <w:r w:rsidRPr="00DB5C6D">
        <w:rPr>
          <w:sz w:val="20"/>
        </w:rPr>
        <w:t>SENTENCIADA QUE CUMPRE PENA EM PRISÃO DOMICILIAR – NÃO</w:t>
      </w:r>
      <w:r>
        <w:rPr>
          <w:sz w:val="20"/>
        </w:rPr>
        <w:t xml:space="preserve"> </w:t>
      </w:r>
      <w:r w:rsidRPr="00DB5C6D">
        <w:rPr>
          <w:sz w:val="20"/>
        </w:rPr>
        <w:t>ACOLHIMENTO – AGRAVADA QUE FOI BENEFICIADA COM A PRISÃO</w:t>
      </w:r>
      <w:r>
        <w:rPr>
          <w:sz w:val="20"/>
        </w:rPr>
        <w:t xml:space="preserve"> </w:t>
      </w:r>
      <w:r w:rsidRPr="00DB5C6D">
        <w:rPr>
          <w:sz w:val="20"/>
        </w:rPr>
        <w:t>DOMICILIAR EM RAZÃO DE POSSUIR FILHOS MENORES DE 12 (DOZE) ANOS –</w:t>
      </w:r>
      <w:r>
        <w:rPr>
          <w:sz w:val="20"/>
        </w:rPr>
        <w:t xml:space="preserve"> </w:t>
      </w:r>
      <w:r w:rsidRPr="00DB5C6D">
        <w:rPr>
          <w:sz w:val="20"/>
        </w:rPr>
        <w:t>NECESSIDADE DE SUSTENTO PRÓPRIO E DE SUA FAMÍLIA –</w:t>
      </w:r>
      <w:r>
        <w:rPr>
          <w:sz w:val="20"/>
        </w:rPr>
        <w:t xml:space="preserve"> </w:t>
      </w:r>
      <w:r w:rsidRPr="00DB5C6D">
        <w:rPr>
          <w:sz w:val="20"/>
        </w:rPr>
        <w:t>EXCEPCIONALIDADE VERIFICADA – PRECEDENTES DAS CORTES</w:t>
      </w:r>
      <w:r>
        <w:rPr>
          <w:sz w:val="20"/>
        </w:rPr>
        <w:t xml:space="preserve"> </w:t>
      </w:r>
      <w:r w:rsidRPr="00DB5C6D">
        <w:rPr>
          <w:sz w:val="20"/>
        </w:rPr>
        <w:t>SUPERIORES – DECISÃO MANTIDA. RECURSO CONHECIDO E DESPROVIDO.</w:t>
      </w:r>
      <w:r>
        <w:rPr>
          <w:sz w:val="20"/>
        </w:rPr>
        <w:t xml:space="preserve"> </w:t>
      </w:r>
      <w:r w:rsidRPr="00DB5C6D">
        <w:rPr>
          <w:sz w:val="20"/>
        </w:rPr>
        <w:t>(</w:t>
      </w:r>
      <w:proofErr w:type="spellStart"/>
      <w:r w:rsidRPr="00DB5C6D">
        <w:rPr>
          <w:sz w:val="20"/>
        </w:rPr>
        <w:t>TJPR</w:t>
      </w:r>
      <w:proofErr w:type="spellEnd"/>
      <w:r>
        <w:rPr>
          <w:sz w:val="20"/>
        </w:rPr>
        <w:t xml:space="preserve">. 3ª Câmara Criminal. Relator Desembargador Substituto </w:t>
      </w:r>
      <w:proofErr w:type="spellStart"/>
      <w:r>
        <w:rPr>
          <w:sz w:val="20"/>
        </w:rPr>
        <w:t>Antonio</w:t>
      </w:r>
      <w:proofErr w:type="spellEnd"/>
      <w:r>
        <w:rPr>
          <w:sz w:val="20"/>
        </w:rPr>
        <w:t xml:space="preserve"> Carlos </w:t>
      </w:r>
      <w:proofErr w:type="spellStart"/>
      <w:r>
        <w:rPr>
          <w:sz w:val="20"/>
        </w:rPr>
        <w:t>Choma</w:t>
      </w:r>
      <w:proofErr w:type="spellEnd"/>
      <w:r>
        <w:rPr>
          <w:sz w:val="20"/>
        </w:rPr>
        <w:t xml:space="preserve">. </w:t>
      </w:r>
      <w:r w:rsidRPr="00DB5C6D">
        <w:rPr>
          <w:sz w:val="20"/>
        </w:rPr>
        <w:t>4000739-16.2023.8.16.4321</w:t>
      </w:r>
      <w:r>
        <w:rPr>
          <w:sz w:val="20"/>
        </w:rPr>
        <w:t>. Data de Julgamento: 18/09/2023).</w:t>
      </w:r>
    </w:p>
    <w:p w:rsidR="00865A45" w:rsidRPr="00865A45" w:rsidRDefault="00DB5C6D" w:rsidP="00865A45">
      <w:pPr>
        <w:pStyle w:val="PargrafodaLista"/>
        <w:spacing w:before="600" w:after="600"/>
        <w:ind w:left="2268" w:firstLine="0"/>
        <w:contextualSpacing w:val="0"/>
        <w:rPr>
          <w:sz w:val="20"/>
        </w:rPr>
      </w:pPr>
      <w:r w:rsidRPr="00865A45">
        <w:rPr>
          <w:sz w:val="20"/>
        </w:rPr>
        <w:t>AGRAVO EM EXECUÇÃO – INSURGÊNCIA</w:t>
      </w:r>
      <w:r w:rsidRPr="00865A45">
        <w:rPr>
          <w:sz w:val="20"/>
        </w:rPr>
        <w:t xml:space="preserve"> MINISTERIAL CONTRA AUTORIZAÇÃO PARA TRABALHO EXTERNO COM MONITORAMENTO ELETRÔNICO – APENADA QUE CUMPRE PENA EM PRISÃO DOMICILIAR PARA CUIDAR DE FILHOS MENORES DE 12 ANOS – PERFIL SELECIONADO POR EQUIPE MULTIDISCIPLINAR E CONSIDERADO ADEQUADO PARA LABORAR EM EMPRESAS E ÓRGÃOS PÚBLICOS CONVENIADOS COM O </w:t>
      </w:r>
      <w:proofErr w:type="spellStart"/>
      <w:r w:rsidRPr="00865A45">
        <w:rPr>
          <w:sz w:val="20"/>
        </w:rPr>
        <w:t>NUPEM</w:t>
      </w:r>
      <w:proofErr w:type="spellEnd"/>
      <w:r w:rsidRPr="00865A45">
        <w:rPr>
          <w:sz w:val="20"/>
        </w:rPr>
        <w:t xml:space="preserve"> (NÚCLEO DE ATENDIMENTO A PESSOA EM MONITORA ELETRÔNICA) – NECESSIDADE DE SUSTENTO DA PROLE – POSSIBLIDADE DE FISCALIZAÇÃO DOS DESLOCAMENTOS REALIZADOS PECULIARIDADES QUE AUTORIZAM A FLEXIBILIZAÇÃO DAS REGRAS, INCLUSIVA EVITANDO A REITERAÇÃO DELITIVA NO AMBIENTE DOMÉSTICO – DECISÃO MANTIDA – RECURSO NÃO PROVIDO.</w:t>
      </w:r>
      <w:r w:rsidR="00865A45" w:rsidRPr="00865A45">
        <w:rPr>
          <w:sz w:val="20"/>
        </w:rPr>
        <w:t xml:space="preserve"> </w:t>
      </w:r>
      <w:r w:rsidRPr="00865A45">
        <w:rPr>
          <w:sz w:val="20"/>
        </w:rPr>
        <w:t>(</w:t>
      </w:r>
      <w:proofErr w:type="spellStart"/>
      <w:r w:rsidRPr="00865A45">
        <w:rPr>
          <w:sz w:val="20"/>
        </w:rPr>
        <w:t>TJPR</w:t>
      </w:r>
      <w:proofErr w:type="spellEnd"/>
      <w:r w:rsidR="00865A45" w:rsidRPr="00865A45">
        <w:rPr>
          <w:sz w:val="20"/>
        </w:rPr>
        <w:t>. 5ª Câmara Criminal. Relator: Desembargador Marcus Vinicius de Lacerda Costa. Data de Julgamento: 27/01/2024).</w:t>
      </w:r>
    </w:p>
    <w:p w:rsidR="006D6165" w:rsidRDefault="00865A45" w:rsidP="00877419">
      <w:pPr>
        <w:pStyle w:val="PargrafodaLista"/>
        <w:ind w:left="0"/>
        <w:contextualSpacing w:val="0"/>
      </w:pPr>
      <w:r>
        <w:t>Entrementes, o monitoramento eletrônico torna possível o controle da região e horário dos deslocamentos, sendo suficiente para aferir o escorreito cumprimento das obrigações impostas e documentar, para fins disciplinares, eventuais transgressões.</w:t>
      </w:r>
    </w:p>
    <w:p w:rsidR="00865A45" w:rsidRDefault="00865A45" w:rsidP="00877419">
      <w:pPr>
        <w:pStyle w:val="PargrafodaLista"/>
        <w:ind w:left="0"/>
        <w:contextualSpacing w:val="0"/>
      </w:pPr>
      <w:r>
        <w:t>Nessas condições, não se cogita a alteração do entendimento sufragado em primeiro grau, porquanto adequado aos sobreditos comandos constitucionais e legais relativos à função da pena e direitos fundamentais de crianças e adolescentes.</w:t>
      </w:r>
    </w:p>
    <w:p w:rsidR="00865A45" w:rsidRDefault="00865A45" w:rsidP="00877419">
      <w:pPr>
        <w:pStyle w:val="PargrafodaLista"/>
        <w:ind w:left="0"/>
        <w:contextualSpacing w:val="0"/>
      </w:pPr>
    </w:p>
    <w:p w:rsidR="006D6165" w:rsidRDefault="006D6165" w:rsidP="00877419">
      <w:pPr>
        <w:pStyle w:val="PargrafodaLista"/>
        <w:ind w:left="0"/>
        <w:contextualSpacing w:val="0"/>
      </w:pPr>
      <w:proofErr w:type="spellStart"/>
      <w:r>
        <w:t>II.III</w:t>
      </w:r>
      <w:proofErr w:type="spellEnd"/>
      <w:r>
        <w:t xml:space="preserve"> – DA CONCLUSÃO</w:t>
      </w:r>
    </w:p>
    <w:p w:rsidR="006D6165" w:rsidRDefault="00AA28DF" w:rsidP="00877419">
      <w:pPr>
        <w:pStyle w:val="PargrafodaLista"/>
        <w:ind w:left="0"/>
        <w:contextualSpacing w:val="0"/>
      </w:pPr>
      <w:r>
        <w:t xml:space="preserve">Pela conjugação das </w:t>
      </w:r>
      <w:r w:rsidR="002F209D">
        <w:t>assertivas</w:t>
      </w:r>
      <w:r>
        <w:t xml:space="preserve"> deduzidas, a conclusão a ser adota consiste</w:t>
      </w:r>
      <w:r w:rsidR="006D6165">
        <w:t xml:space="preserve"> em conhecer e negar provimento ao recurso.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6D6165">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1D3CB9"/>
    <w:rsid w:val="002F209D"/>
    <w:rsid w:val="00672942"/>
    <w:rsid w:val="006D6165"/>
    <w:rsid w:val="00773D7C"/>
    <w:rsid w:val="00865A45"/>
    <w:rsid w:val="00877419"/>
    <w:rsid w:val="00AA28DF"/>
    <w:rsid w:val="00AE47D1"/>
    <w:rsid w:val="00DB5C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F536"/>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91C2CD-65C5-4591-B49C-7D8BABD6618F}"/>
</file>

<file path=customXml/itemProps2.xml><?xml version="1.0" encoding="utf-8"?>
<ds:datastoreItem xmlns:ds="http://schemas.openxmlformats.org/officeDocument/2006/customXml" ds:itemID="{38CD888B-F9D0-46A4-BF5A-EF4FAD1DEE28}"/>
</file>

<file path=customXml/itemProps3.xml><?xml version="1.0" encoding="utf-8"?>
<ds:datastoreItem xmlns:ds="http://schemas.openxmlformats.org/officeDocument/2006/customXml" ds:itemID="{F5AC51A5-5286-4037-AE14-B1C0DE28E4A0}"/>
</file>

<file path=docProps/app.xml><?xml version="1.0" encoding="utf-8"?>
<Properties xmlns="http://schemas.openxmlformats.org/officeDocument/2006/extended-properties" xmlns:vt="http://schemas.openxmlformats.org/officeDocument/2006/docPropsVTypes">
  <Template>Normal</Template>
  <TotalTime>60</TotalTime>
  <Pages>1</Pages>
  <Words>1258</Words>
  <Characters>6797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2024-04-12T21:34:00Z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362000</vt:r8>
  </property>
</Properties>
</file>