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861A3" w14:textId="03BB283B" w:rsidR="00EE5235" w:rsidRPr="00377DAD" w:rsidRDefault="00EE5235" w:rsidP="00903197">
      <w:pPr>
        <w:pStyle w:val="NormalWeb"/>
        <w:spacing w:before="0" w:beforeAutospacing="0" w:after="240" w:afterAutospacing="0" w:line="360" w:lineRule="auto"/>
        <w:ind w:firstLine="709"/>
        <w:jc w:val="both"/>
        <w:rPr>
          <w:b/>
          <w:bCs/>
        </w:rPr>
      </w:pPr>
      <w:r w:rsidRPr="00377DAD">
        <w:rPr>
          <w:b/>
          <w:bCs/>
        </w:rPr>
        <w:t>I – RELATÓRIO</w:t>
      </w:r>
    </w:p>
    <w:p w14:paraId="4C4CFEF0" w14:textId="79FFCC6C" w:rsidR="005D1B6B" w:rsidRDefault="000F3022" w:rsidP="00F71EF7">
      <w:pPr>
        <w:pStyle w:val="NormalWeb"/>
        <w:spacing w:before="0" w:beforeAutospacing="0" w:after="240" w:afterAutospacing="0" w:line="360" w:lineRule="auto"/>
        <w:ind w:firstLine="709"/>
        <w:jc w:val="both"/>
      </w:pPr>
      <w:r w:rsidRPr="00903197">
        <w:t>Cuida-se de agravo de instrumento interposto por</w:t>
      </w:r>
      <w:r w:rsidR="00321EBC">
        <w:t xml:space="preserve"> </w:t>
      </w:r>
      <w:proofErr w:type="spellStart"/>
      <w:r w:rsidR="00321EBC">
        <w:t>M</w:t>
      </w:r>
      <w:r w:rsidR="009F71AB">
        <w:t>æ</w:t>
      </w:r>
      <w:r w:rsidR="00321EBC">
        <w:t>oro</w:t>
      </w:r>
      <w:proofErr w:type="spellEnd"/>
      <w:r w:rsidR="00321EBC">
        <w:t xml:space="preserve"> Construções Civis Ltda. em face de Jonathas Evandro Gabardo e Vanessa de Carvalho </w:t>
      </w:r>
      <w:proofErr w:type="spellStart"/>
      <w:r w:rsidR="00321EBC">
        <w:t>Postol</w:t>
      </w:r>
      <w:proofErr w:type="spellEnd"/>
      <w:r w:rsidR="00321EBC">
        <w:t xml:space="preserve">, tendo como objeto decisão proferida pelo juízo da </w:t>
      </w:r>
      <w:r w:rsidR="00844386">
        <w:t>18ª Vara Cível de Curitiba (evento 190.1 – autos de origem).</w:t>
      </w:r>
    </w:p>
    <w:p w14:paraId="05B84D71" w14:textId="78FD7479" w:rsidR="00F71EF7" w:rsidRDefault="00377DAD" w:rsidP="00903197">
      <w:pPr>
        <w:pStyle w:val="NormalWeb"/>
        <w:spacing w:before="0" w:beforeAutospacing="0" w:after="240" w:afterAutospacing="0" w:line="360" w:lineRule="auto"/>
        <w:ind w:firstLine="709"/>
        <w:jc w:val="both"/>
      </w:pPr>
      <w:r>
        <w:t>Em suas razões de inconformismo, a parte agravante postulou a concessão dos benefícios da gratuidade da justiça (evento 1.1).</w:t>
      </w:r>
      <w:r w:rsidR="00F71EF7">
        <w:t xml:space="preserve"> Instada a apresentar documentos elucidativos de sua condição econômica, argumentou que a </w:t>
      </w:r>
      <w:r w:rsidR="00774BC8">
        <w:t xml:space="preserve">interrupção das atividades econômicas e o curso do processo de recuperação judicial induzem verossimilhança da arguição de carência (evento </w:t>
      </w:r>
      <w:r w:rsidR="00915EE6">
        <w:t>12.1).</w:t>
      </w:r>
    </w:p>
    <w:p w14:paraId="1929E5EF" w14:textId="195F7A6F" w:rsidR="00EE5235" w:rsidRDefault="00EE5235" w:rsidP="00903197">
      <w:pPr>
        <w:pStyle w:val="NormalWeb"/>
        <w:spacing w:before="0" w:beforeAutospacing="0" w:after="240" w:afterAutospacing="0" w:line="360" w:lineRule="auto"/>
        <w:ind w:firstLine="709"/>
        <w:jc w:val="both"/>
      </w:pPr>
      <w:r>
        <w:t>É o necessário relato.</w:t>
      </w:r>
    </w:p>
    <w:p w14:paraId="08BD997D" w14:textId="77777777" w:rsidR="00E743D6" w:rsidRDefault="00E743D6" w:rsidP="00903197">
      <w:pPr>
        <w:pStyle w:val="NormalWeb"/>
        <w:spacing w:before="0" w:beforeAutospacing="0" w:after="240" w:afterAutospacing="0" w:line="360" w:lineRule="auto"/>
        <w:ind w:firstLine="709"/>
        <w:jc w:val="both"/>
      </w:pPr>
    </w:p>
    <w:p w14:paraId="69152C96" w14:textId="2F5F8959" w:rsidR="00EE5235" w:rsidRPr="00E743D6" w:rsidRDefault="00EE5235" w:rsidP="00903197">
      <w:pPr>
        <w:pStyle w:val="NormalWeb"/>
        <w:spacing w:before="0" w:beforeAutospacing="0" w:after="240" w:afterAutospacing="0" w:line="360" w:lineRule="auto"/>
        <w:ind w:firstLine="709"/>
        <w:jc w:val="both"/>
        <w:rPr>
          <w:b/>
          <w:bCs/>
        </w:rPr>
      </w:pPr>
      <w:r w:rsidRPr="00E743D6">
        <w:rPr>
          <w:b/>
          <w:bCs/>
        </w:rPr>
        <w:t>II – FUNDAMENTAÇÃO</w:t>
      </w:r>
    </w:p>
    <w:p w14:paraId="14B1D489" w14:textId="35BBB982" w:rsidR="00E743D6" w:rsidRPr="00E743D6" w:rsidRDefault="00E743D6" w:rsidP="00E743D6">
      <w:pPr>
        <w:pStyle w:val="NormalWeb"/>
        <w:spacing w:before="0" w:beforeAutospacing="0" w:after="240" w:afterAutospacing="0" w:line="360" w:lineRule="auto"/>
        <w:ind w:firstLine="709"/>
        <w:rPr>
          <w:color w:val="000000" w:themeColor="text1"/>
        </w:rPr>
      </w:pPr>
      <w:r w:rsidRPr="00E743D6">
        <w:rPr>
          <w:color w:val="000000" w:themeColor="text1"/>
        </w:rPr>
        <w:t>A gratuidade da justiça é consectário lógico das garantias fundamentais de acesso à justiça e inafastabilidade da jurisdição, previstas no artigo 5º, inciso XXXV da Constituição da República de 1988.</w:t>
      </w:r>
    </w:p>
    <w:p w14:paraId="0533386E" w14:textId="77777777" w:rsidR="00E743D6" w:rsidRPr="00E743D6" w:rsidRDefault="00E743D6" w:rsidP="00E743D6">
      <w:pPr>
        <w:pStyle w:val="NormalWeb"/>
        <w:spacing w:before="0" w:beforeAutospacing="0" w:after="240" w:afterAutospacing="0" w:line="360" w:lineRule="auto"/>
        <w:ind w:firstLine="709"/>
        <w:rPr>
          <w:color w:val="000000" w:themeColor="text1"/>
        </w:rPr>
      </w:pPr>
      <w:r w:rsidRPr="00E743D6">
        <w:rPr>
          <w:color w:val="000000" w:themeColor="text1"/>
        </w:rPr>
        <w:t>Entretanto, também segundo previsão constitucional, é possível a cobrança de custas e emolumentos como contrapartida dos serviços públicos afetos às atividades específicas da justiça (CRFB, art. 98, § 2º), os quais possuem natureza de taxa e têm como fato gerador o exercício regular de poder de polícia ou a utilização, efetiva ou potencial, de serviço público específico e divisível, prestado ou disponibilizado (CTN, art. 77).</w:t>
      </w:r>
    </w:p>
    <w:p w14:paraId="19089154" w14:textId="116B3F98" w:rsidR="00E743D6" w:rsidRPr="00E743D6" w:rsidRDefault="00E743D6" w:rsidP="00E743D6">
      <w:pPr>
        <w:pStyle w:val="NormalWeb"/>
        <w:spacing w:before="0" w:beforeAutospacing="0" w:after="240" w:afterAutospacing="0" w:line="360" w:lineRule="auto"/>
        <w:ind w:firstLine="709"/>
        <w:rPr>
          <w:color w:val="000000" w:themeColor="text1"/>
        </w:rPr>
      </w:pPr>
      <w:r w:rsidRPr="00E743D6">
        <w:rPr>
          <w:rFonts w:eastAsiaTheme="minorHAnsi"/>
          <w:lang w:eastAsia="en-US"/>
        </w:rPr>
        <w:t>Sobre o tema da concessão da gratuidade da justiça para pessoas jurídicas, na Súmula 481, o Superior Tribunal de Justiça consignou o entendimento de que “faz jus ao benefício da justiça gratuita a pessoal jurídica com ou sem fins lucrativos que demonstrar sua impossibilidade de arcar com os encargos processuais”.</w:t>
      </w:r>
    </w:p>
    <w:p w14:paraId="78BC1449" w14:textId="127C1C3B" w:rsidR="00E743D6" w:rsidRPr="00E743D6" w:rsidRDefault="00E743D6" w:rsidP="00E743D6">
      <w:pPr>
        <w:pStyle w:val="NormalWeb"/>
        <w:spacing w:before="0" w:beforeAutospacing="0" w:after="240" w:afterAutospacing="0" w:line="360" w:lineRule="auto"/>
        <w:ind w:firstLine="709"/>
        <w:rPr>
          <w:color w:val="000000" w:themeColor="text1"/>
        </w:rPr>
      </w:pPr>
      <w:r w:rsidRPr="00E743D6">
        <w:rPr>
          <w:color w:val="000000" w:themeColor="text1"/>
        </w:rPr>
        <w:t xml:space="preserve">O Código de Processo Civil, por sua vez, estabeleceu a possiblidade de concessão do benefício às pessoas físicas e jurídicas (CPC, art. 98), ressalvando que, </w:t>
      </w:r>
      <w:r w:rsidRPr="00E743D6">
        <w:rPr>
          <w:color w:val="000000" w:themeColor="text1"/>
        </w:rPr>
        <w:lastRenderedPageBreak/>
        <w:t xml:space="preserve">para as jurídicas, compete ao requerente o ônus de comprovação do preenchimento das respectivas condições (CPC, </w:t>
      </w:r>
      <w:proofErr w:type="spellStart"/>
      <w:r w:rsidRPr="00E743D6">
        <w:rPr>
          <w:color w:val="000000" w:themeColor="text1"/>
        </w:rPr>
        <w:t>arts</w:t>
      </w:r>
      <w:proofErr w:type="spellEnd"/>
      <w:r w:rsidRPr="00E743D6">
        <w:rPr>
          <w:color w:val="000000" w:themeColor="text1"/>
        </w:rPr>
        <w:t>. 99, § 3º).</w:t>
      </w:r>
    </w:p>
    <w:p w14:paraId="62632D61" w14:textId="794AB97E" w:rsidR="00E743D6" w:rsidRDefault="00E743D6" w:rsidP="00E743D6">
      <w:pPr>
        <w:pStyle w:val="NormalWeb"/>
        <w:spacing w:before="0" w:beforeAutospacing="0" w:after="240" w:afterAutospacing="0" w:line="360" w:lineRule="auto"/>
        <w:ind w:firstLine="709"/>
        <w:rPr>
          <w:rFonts w:eastAsiaTheme="minorHAnsi"/>
          <w:lang w:eastAsia="en-US"/>
        </w:rPr>
      </w:pPr>
      <w:r w:rsidRPr="00E743D6">
        <w:rPr>
          <w:rFonts w:eastAsiaTheme="minorHAnsi"/>
          <w:lang w:eastAsia="en-US"/>
        </w:rPr>
        <w:t>Referido enunciado sumular, apesar de anterior ao Código de Processo Civil atual, permanece sendo aplicado como guia interpretativo nas decisões da Corte Superior, bem como do Tribunal de Justiça do Estado do Paraná:</w:t>
      </w:r>
    </w:p>
    <w:p w14:paraId="5D7E41C0" w14:textId="77777777" w:rsidR="00E743D6" w:rsidRPr="00E743D6" w:rsidRDefault="00E743D6" w:rsidP="00E743D6">
      <w:pPr>
        <w:pStyle w:val="NormalWeb"/>
        <w:spacing w:before="0" w:beforeAutospacing="0" w:after="240" w:afterAutospacing="0" w:line="360" w:lineRule="auto"/>
        <w:ind w:firstLine="709"/>
        <w:rPr>
          <w:rFonts w:eastAsiaTheme="minorHAnsi"/>
          <w:lang w:eastAsia="en-US"/>
        </w:rPr>
      </w:pPr>
    </w:p>
    <w:p w14:paraId="57E9A297" w14:textId="0969ECA9" w:rsidR="00E743D6" w:rsidRPr="00E743D6" w:rsidRDefault="00E743D6" w:rsidP="00E743D6">
      <w:pPr>
        <w:pStyle w:val="Citao"/>
        <w:spacing w:before="600" w:after="600"/>
        <w:rPr>
          <w:rFonts w:eastAsiaTheme="minorHAnsi"/>
          <w:i w:val="0"/>
          <w:sz w:val="20"/>
          <w:szCs w:val="20"/>
          <w:lang w:eastAsia="en-US"/>
        </w:rPr>
      </w:pPr>
      <w:r w:rsidRPr="00E743D6">
        <w:rPr>
          <w:rFonts w:eastAsiaTheme="minorHAnsi"/>
          <w:i w:val="0"/>
          <w:sz w:val="20"/>
          <w:szCs w:val="20"/>
          <w:lang w:eastAsia="en-US"/>
        </w:rPr>
        <w:t>AGRAVO INTERNO NO AGRAVO EM RECURSO ESPECIAL. AGRAVO DE INSTRUMENTO. REVOGAÇÃO DA JUSTIÇA GRATUITA. ALEGAÇÃO DE INVERSÃO DO ÔNUS DA PROVA. FALTA DE PREQUESTIONAMENTO. ADMISSÃO DE PREQUESTIONAMENTO FICTO. NECESSIDADE DE INDICAÇÃO DE AFRONTA AO ART. 1.022 DO NCPC. PESSOA JURÍDICA. NECESSIDADE DE PROVA DA HIPOSSUFICIÊNCIA. INEXISTÊNCIA DE PRESUNÇÃO LEGAL FAVORÁVEL. SÚMULA 481/STJ. CONSONÂNCIA DO ACÓRDÃO RECORRIDO COM A JURISPRUDÊNCIA DESTA CORTE. SÚMULA 83/STJ. AGRAVO INTERNO DESPROVIDO. (...) 2. Nos termos da jurisprudência desta Corte</w:t>
      </w:r>
      <w:r w:rsidRPr="00E743D6">
        <w:rPr>
          <w:rFonts w:eastAsiaTheme="minorHAnsi"/>
          <w:b/>
          <w:i w:val="0"/>
          <w:sz w:val="20"/>
          <w:szCs w:val="20"/>
          <w:lang w:eastAsia="en-US"/>
        </w:rPr>
        <w:t>, a concessão do benefício de gratuidade da justiça à pessoa jurídica, ainda que em regime de liquidação extrajudicial, recuperação judicial ou sem fins lucrativos, somente é possível quando comprovada a precariedade de sua situação financeira, inexistindo, em seu favor, presunção de insuficiência de recursos. Súmula 481/STJ</w:t>
      </w:r>
      <w:r w:rsidRPr="00E743D6">
        <w:rPr>
          <w:rFonts w:eastAsiaTheme="minorHAnsi"/>
          <w:i w:val="0"/>
          <w:sz w:val="20"/>
          <w:szCs w:val="20"/>
          <w:lang w:eastAsia="en-US"/>
        </w:rPr>
        <w:t xml:space="preserve">. 3. No caso concreto, não houve a comprovação da hipossuficiência financeira alegada, de modo que o entendimento adotado pelo acórdão recorrido coincide com a jurisprudência assente nesta Corte Superior, circunstância que atrai a incidência da Súmula 83/STJ. 4. Agravo interno a que se nega provimento”. (STJ. Quarta Turma. Relator: Ministro Raul Araújo. AgInt no </w:t>
      </w:r>
      <w:proofErr w:type="spellStart"/>
      <w:r w:rsidRPr="00E743D6">
        <w:rPr>
          <w:rFonts w:eastAsiaTheme="minorHAnsi"/>
          <w:i w:val="0"/>
          <w:sz w:val="20"/>
          <w:szCs w:val="20"/>
          <w:lang w:eastAsia="en-US"/>
        </w:rPr>
        <w:t>AREsp</w:t>
      </w:r>
      <w:proofErr w:type="spellEnd"/>
      <w:r w:rsidRPr="00E743D6">
        <w:rPr>
          <w:rFonts w:eastAsiaTheme="minorHAnsi"/>
          <w:i w:val="0"/>
          <w:sz w:val="20"/>
          <w:szCs w:val="20"/>
          <w:lang w:eastAsia="en-US"/>
        </w:rPr>
        <w:t xml:space="preserve"> n. 2.195.758/SP. Data de Julgamento: 17-04-2023. Data de Publicação: 03-05-2023).</w:t>
      </w:r>
    </w:p>
    <w:p w14:paraId="7F0B95D9" w14:textId="4073D93F" w:rsidR="00E743D6" w:rsidRPr="00E743D6" w:rsidRDefault="00E743D6" w:rsidP="00E743D6">
      <w:pPr>
        <w:pStyle w:val="Citao"/>
        <w:spacing w:before="600" w:after="600"/>
        <w:rPr>
          <w:i w:val="0"/>
          <w:sz w:val="20"/>
          <w:szCs w:val="20"/>
        </w:rPr>
      </w:pPr>
      <w:r w:rsidRPr="00E743D6">
        <w:rPr>
          <w:i w:val="0"/>
          <w:sz w:val="20"/>
          <w:szCs w:val="20"/>
        </w:rPr>
        <w:t xml:space="preserve">AGRAVO DE INSTRUMENTO. EXECUÇÃO FISCAL. </w:t>
      </w:r>
      <w:r w:rsidRPr="00E743D6">
        <w:rPr>
          <w:b/>
          <w:i w:val="0"/>
          <w:sz w:val="20"/>
          <w:szCs w:val="20"/>
        </w:rPr>
        <w:t xml:space="preserve">DECISÃO QUE INDEFERIU PEDIDO DE JUSTIÇA GRATUITA. PESSOA JURÍDICA. INAPLICABILIDADE DA PRESUNÇÃO DE VERACIDADE DA DECLARAÇÃO HIPOSSUFICIÊNCIA FINANCEIRA. CPC, ART. 99, § 3º. SÚMULA Nº 481 DO SUPERIOR TRIBUNAL DE JUSTIÇA. DOCUMENTAÇÃO APRESENTADA QUE NÃO EVIDENCIA A </w:t>
      </w:r>
      <w:r w:rsidRPr="00E743D6">
        <w:rPr>
          <w:b/>
          <w:i w:val="0"/>
          <w:sz w:val="20"/>
          <w:szCs w:val="20"/>
        </w:rPr>
        <w:lastRenderedPageBreak/>
        <w:t>IMPOSSIBILIDADE DE CUSTEIO DOS ENCARGOS PROCESSUAIS. DECISÃO MANTIDA</w:t>
      </w:r>
      <w:r w:rsidRPr="00E743D6">
        <w:rPr>
          <w:i w:val="0"/>
          <w:sz w:val="20"/>
          <w:szCs w:val="20"/>
        </w:rPr>
        <w:t>. RECURSO CONHECIDO E DESPROVIDO”. (TJPR. 2ª Câmara Cível. Relator: Desembargador Substituto Rodrigo Fernandes Lima Dalledone. 0076309-75.2022.8.16.0000. Londrina. Data de Julgamento: 17-07-2023).</w:t>
      </w:r>
    </w:p>
    <w:p w14:paraId="23EB3BA4" w14:textId="2F4805C2" w:rsidR="00E743D6" w:rsidRDefault="00E743D6" w:rsidP="00E743D6">
      <w:pPr>
        <w:pStyle w:val="Citao"/>
        <w:spacing w:before="600" w:after="600"/>
        <w:rPr>
          <w:i w:val="0"/>
          <w:sz w:val="20"/>
          <w:szCs w:val="20"/>
        </w:rPr>
      </w:pPr>
      <w:r w:rsidRPr="00E743D6">
        <w:rPr>
          <w:i w:val="0"/>
          <w:sz w:val="20"/>
          <w:szCs w:val="20"/>
        </w:rPr>
        <w:t xml:space="preserve">AGRAVO DE INSTRUMENTO. “AÇÃO DE PRODUÇÃO ANTECIPADA DE PROVAS”. </w:t>
      </w:r>
      <w:r w:rsidRPr="00E743D6">
        <w:rPr>
          <w:b/>
          <w:i w:val="0"/>
          <w:sz w:val="20"/>
          <w:szCs w:val="20"/>
        </w:rPr>
        <w:t>DECISÃO AGRAVADA QUE INDEFERIU O BENEFÍCIO DA JUSTIÇA GRATUITA. INSURGÊNCIA DA PARTE RECORRENTE. PESSOA JURÍDICA. DOCUMENTAÇÃO JUNTADA QUE NÃO DEMONSTRA A HIPOSSUFICIÊNCIA ALEGADA. TEOR DA SÚMULA 481 STJ. NOME DA PARTE INSCRITO NOS CADASTROS DE PROTEÇÃO AO CRÉDITO INSUFICIENTE PARA DEFERIR A BENESSE</w:t>
      </w:r>
      <w:r w:rsidRPr="00E743D6">
        <w:rPr>
          <w:i w:val="0"/>
          <w:sz w:val="20"/>
          <w:szCs w:val="20"/>
        </w:rPr>
        <w:t xml:space="preserve">. RECEITA BRUTA DA EMPRESA QUE ULTRAPASSA 3 (TRÊS) MILHÕES DE REAIS. RECURSO CONHECIDO E DESPROVIDO”. (TJPR. 10ª Câmara Cível. Relator: Desembargador Substituto Alexandre </w:t>
      </w:r>
      <w:proofErr w:type="spellStart"/>
      <w:r w:rsidRPr="00E743D6">
        <w:rPr>
          <w:i w:val="0"/>
          <w:sz w:val="20"/>
          <w:szCs w:val="20"/>
        </w:rPr>
        <w:t>Kozechen</w:t>
      </w:r>
      <w:proofErr w:type="spellEnd"/>
      <w:r w:rsidRPr="00E743D6">
        <w:rPr>
          <w:i w:val="0"/>
          <w:sz w:val="20"/>
          <w:szCs w:val="20"/>
        </w:rPr>
        <w:t>. 0032288-14.2022.8.16.0000. Cidade Gaúcha. Data de Julgamento: 17-07-2023).</w:t>
      </w:r>
    </w:p>
    <w:p w14:paraId="445C0598" w14:textId="77777777" w:rsidR="00E743D6" w:rsidRPr="00E743D6" w:rsidRDefault="00E743D6" w:rsidP="00E743D6">
      <w:pPr>
        <w:rPr>
          <w:lang w:eastAsia="pt-BR"/>
        </w:rPr>
      </w:pPr>
    </w:p>
    <w:p w14:paraId="22E2A6C7" w14:textId="77777777" w:rsidR="00E743D6" w:rsidRPr="00E743D6" w:rsidRDefault="00E743D6" w:rsidP="00E743D6">
      <w:pPr>
        <w:spacing w:after="240" w:line="360" w:lineRule="auto"/>
        <w:ind w:firstLine="709"/>
        <w:rPr>
          <w:color w:val="000000" w:themeColor="text1"/>
          <w:sz w:val="24"/>
          <w:szCs w:val="24"/>
        </w:rPr>
      </w:pPr>
      <w:r w:rsidRPr="00E743D6">
        <w:rPr>
          <w:color w:val="000000" w:themeColor="text1"/>
          <w:sz w:val="24"/>
          <w:szCs w:val="24"/>
        </w:rPr>
        <w:t>Portanto, em interpretação da redação da legislação processual conforme a jurisprudência do Superior Tribunal de Justiça e do Estado do Paraná, infere-se que a concessão da gratuidade da justiça para pessoas jurídicas está condicionada à efetiva comprovação de impossibilidade atual de pagamento das custas processuais, ônus do qual a parte agravante não se desincumbiu a contento.</w:t>
      </w:r>
    </w:p>
    <w:p w14:paraId="000C7E7B" w14:textId="45EFDFBD" w:rsidR="00E743D6" w:rsidRDefault="00E743D6" w:rsidP="00903197">
      <w:pPr>
        <w:pStyle w:val="NormalWeb"/>
        <w:spacing w:before="0" w:beforeAutospacing="0" w:after="240" w:afterAutospacing="0" w:line="360" w:lineRule="auto"/>
        <w:ind w:firstLine="709"/>
        <w:jc w:val="both"/>
      </w:pPr>
      <w:r>
        <w:t xml:space="preserve">No caso dos autos, apesar de oportunizada a produção de elementos indicativos da situação econômica atual, </w:t>
      </w:r>
      <w:r w:rsidR="0044775A">
        <w:t>a agravante não aten</w:t>
      </w:r>
      <w:r w:rsidR="00915EE6">
        <w:t>deu</w:t>
      </w:r>
      <w:r w:rsidR="0044775A">
        <w:t xml:space="preserve"> ao respectivo comando judicial.</w:t>
      </w:r>
    </w:p>
    <w:p w14:paraId="723060BE" w14:textId="60909C22" w:rsidR="0044775A" w:rsidRDefault="00C97EAA" w:rsidP="00903197">
      <w:pPr>
        <w:pStyle w:val="NormalWeb"/>
        <w:spacing w:before="0" w:beforeAutospacing="0" w:after="240" w:afterAutospacing="0" w:line="360" w:lineRule="auto"/>
        <w:ind w:firstLine="709"/>
        <w:jc w:val="both"/>
      </w:pPr>
      <w:r>
        <w:t xml:space="preserve">A mera alegação de carência econômica e de tramitação de processo de recuperação judicial não induz presunção de impossibilidade de custeio </w:t>
      </w:r>
      <w:r w:rsidR="000A3FA2">
        <w:t>das despesas processuais.</w:t>
      </w:r>
    </w:p>
    <w:p w14:paraId="0E6212BF" w14:textId="77777777" w:rsidR="00377DAD" w:rsidRDefault="00377DAD" w:rsidP="00903197">
      <w:pPr>
        <w:pStyle w:val="NormalWeb"/>
        <w:spacing w:before="0" w:beforeAutospacing="0" w:after="240" w:afterAutospacing="0" w:line="360" w:lineRule="auto"/>
        <w:ind w:firstLine="709"/>
        <w:jc w:val="both"/>
      </w:pPr>
    </w:p>
    <w:p w14:paraId="45D2946C" w14:textId="0533A0D2" w:rsidR="00EE5235" w:rsidRPr="006651BD" w:rsidRDefault="00EE5235" w:rsidP="00903197">
      <w:pPr>
        <w:pStyle w:val="NormalWeb"/>
        <w:spacing w:before="0" w:beforeAutospacing="0" w:after="240" w:afterAutospacing="0" w:line="360" w:lineRule="auto"/>
        <w:ind w:firstLine="709"/>
        <w:jc w:val="both"/>
        <w:rPr>
          <w:b/>
          <w:bCs/>
        </w:rPr>
      </w:pPr>
      <w:r w:rsidRPr="006651BD">
        <w:rPr>
          <w:b/>
          <w:bCs/>
        </w:rPr>
        <w:t>III – DECISÃO</w:t>
      </w:r>
    </w:p>
    <w:p w14:paraId="7F275DB6" w14:textId="6EC54AAD" w:rsidR="00EE5235" w:rsidRDefault="00EE5235" w:rsidP="00903197">
      <w:pPr>
        <w:pStyle w:val="NormalWeb"/>
        <w:spacing w:before="0" w:beforeAutospacing="0" w:after="240" w:afterAutospacing="0" w:line="360" w:lineRule="auto"/>
        <w:ind w:firstLine="709"/>
        <w:jc w:val="both"/>
      </w:pPr>
      <w:r>
        <w:lastRenderedPageBreak/>
        <w:t>Ante o exposto, com fulcro no artigo 99, § 3º, do Código de Processo Civil, indefere-se a gratuidade da justiça.</w:t>
      </w:r>
    </w:p>
    <w:p w14:paraId="30932FBC" w14:textId="573DC32C" w:rsidR="00EE5235" w:rsidRDefault="00EE5235" w:rsidP="00903197">
      <w:pPr>
        <w:pStyle w:val="NormalWeb"/>
        <w:spacing w:before="0" w:beforeAutospacing="0" w:after="240" w:afterAutospacing="0" w:line="360" w:lineRule="auto"/>
        <w:ind w:firstLine="709"/>
        <w:jc w:val="both"/>
      </w:pPr>
      <w:r>
        <w:t xml:space="preserve">Intime-se </w:t>
      </w:r>
      <w:r w:rsidR="0044775A">
        <w:t>a</w:t>
      </w:r>
      <w:r>
        <w:t xml:space="preserve"> agravante para que, no prazo de 5 (cinco) dias, promova</w:t>
      </w:r>
      <w:r w:rsidR="0044775A">
        <w:t>m</w:t>
      </w:r>
      <w:r>
        <w:t xml:space="preserve"> o preparo recursal, sob pena de deserção.</w:t>
      </w:r>
    </w:p>
    <w:p w14:paraId="3D70F8BF" w14:textId="15DD7B12" w:rsidR="00EE5235" w:rsidRPr="00903197" w:rsidRDefault="00EE5235" w:rsidP="00903197">
      <w:pPr>
        <w:pStyle w:val="NormalWeb"/>
        <w:spacing w:before="0" w:beforeAutospacing="0" w:after="240" w:afterAutospacing="0" w:line="360" w:lineRule="auto"/>
        <w:ind w:firstLine="709"/>
        <w:jc w:val="both"/>
      </w:pPr>
      <w:r>
        <w:t>Escoado o prazo assinalado, concluam-se os autos.</w:t>
      </w:r>
    </w:p>
    <w:sectPr w:rsidR="00EE5235" w:rsidRPr="009031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CE9"/>
    <w:rsid w:val="00095FD5"/>
    <w:rsid w:val="000A3FA2"/>
    <w:rsid w:val="000F3022"/>
    <w:rsid w:val="002A7FA2"/>
    <w:rsid w:val="00321EBC"/>
    <w:rsid w:val="00377DAD"/>
    <w:rsid w:val="0044775A"/>
    <w:rsid w:val="005D1B6B"/>
    <w:rsid w:val="006651BD"/>
    <w:rsid w:val="006657F2"/>
    <w:rsid w:val="006E73AD"/>
    <w:rsid w:val="00704CE9"/>
    <w:rsid w:val="00733889"/>
    <w:rsid w:val="00774BC8"/>
    <w:rsid w:val="00844386"/>
    <w:rsid w:val="008D3F8C"/>
    <w:rsid w:val="008D4B02"/>
    <w:rsid w:val="008E70A3"/>
    <w:rsid w:val="00903197"/>
    <w:rsid w:val="00915EE6"/>
    <w:rsid w:val="009E11AC"/>
    <w:rsid w:val="009F71AB"/>
    <w:rsid w:val="00BB0B2A"/>
    <w:rsid w:val="00BD3F10"/>
    <w:rsid w:val="00C957C8"/>
    <w:rsid w:val="00C97EAA"/>
    <w:rsid w:val="00D72BA8"/>
    <w:rsid w:val="00DA36D7"/>
    <w:rsid w:val="00E743D6"/>
    <w:rsid w:val="00EE5235"/>
    <w:rsid w:val="00F71E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6524"/>
  <w15:chartTrackingRefBased/>
  <w15:docId w15:val="{C6A62FBA-12A7-48D2-B566-EFDA2001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6D7"/>
    <w:pPr>
      <w:suppressAutoHyphens/>
      <w:overflowPunct w:val="0"/>
      <w:autoSpaceDE w:val="0"/>
      <w:spacing w:after="0" w:line="240" w:lineRule="auto"/>
      <w:textAlignment w:val="baseline"/>
    </w:pPr>
    <w:rPr>
      <w:rFonts w:ascii="Times New Roman" w:eastAsia="Times New Roman" w:hAnsi="Times New Roman" w:cs="Times New Roman"/>
      <w:sz w:val="20"/>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F3022"/>
    <w:pPr>
      <w:suppressAutoHyphens w:val="0"/>
      <w:overflowPunct/>
      <w:autoSpaceDE/>
      <w:spacing w:before="100" w:beforeAutospacing="1" w:after="100" w:afterAutospacing="1"/>
      <w:textAlignment w:val="auto"/>
    </w:pPr>
    <w:rPr>
      <w:sz w:val="24"/>
      <w:szCs w:val="24"/>
      <w:lang w:eastAsia="pt-BR"/>
    </w:rPr>
  </w:style>
  <w:style w:type="paragraph" w:styleId="Citao">
    <w:name w:val="Quote"/>
    <w:basedOn w:val="Normal"/>
    <w:next w:val="Normal"/>
    <w:link w:val="CitaoChar"/>
    <w:uiPriority w:val="29"/>
    <w:qFormat/>
    <w:rsid w:val="00E743D6"/>
    <w:pPr>
      <w:suppressAutoHyphens w:val="0"/>
      <w:overflowPunct/>
      <w:autoSpaceDE/>
      <w:spacing w:line="360" w:lineRule="auto"/>
      <w:ind w:left="2268"/>
      <w:jc w:val="both"/>
      <w:textAlignment w:val="auto"/>
    </w:pPr>
    <w:rPr>
      <w:bCs/>
      <w:i/>
      <w:iCs/>
      <w:color w:val="000000" w:themeColor="text1"/>
      <w:sz w:val="22"/>
      <w:szCs w:val="24"/>
      <w:lang w:eastAsia="pt-BR"/>
    </w:rPr>
  </w:style>
  <w:style w:type="character" w:customStyle="1" w:styleId="CitaoChar">
    <w:name w:val="Citação Char"/>
    <w:basedOn w:val="Fontepargpadro"/>
    <w:link w:val="Citao"/>
    <w:uiPriority w:val="29"/>
    <w:rsid w:val="00E743D6"/>
    <w:rPr>
      <w:rFonts w:ascii="Times New Roman" w:eastAsia="Times New Roman" w:hAnsi="Times New Roman" w:cs="Times New Roman"/>
      <w:bCs/>
      <w:i/>
      <w:iCs/>
      <w:color w:val="000000" w:themeColor="text1"/>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0161">
      <w:bodyDiv w:val="1"/>
      <w:marLeft w:val="0"/>
      <w:marRight w:val="0"/>
      <w:marTop w:val="0"/>
      <w:marBottom w:val="0"/>
      <w:divBdr>
        <w:top w:val="none" w:sz="0" w:space="0" w:color="auto"/>
        <w:left w:val="none" w:sz="0" w:space="0" w:color="auto"/>
        <w:bottom w:val="none" w:sz="0" w:space="0" w:color="auto"/>
        <w:right w:val="none" w:sz="0" w:space="0" w:color="auto"/>
      </w:divBdr>
    </w:div>
    <w:div w:id="150250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911DBA-B993-4566-B714-4FB3A79381E8}">
  <ds:schemaRefs>
    <ds:schemaRef ds:uri="http://schemas.microsoft.com/sharepoint/v3/contenttype/forms"/>
  </ds:schemaRefs>
</ds:datastoreItem>
</file>

<file path=customXml/itemProps2.xml><?xml version="1.0" encoding="utf-8"?>
<ds:datastoreItem xmlns:ds="http://schemas.openxmlformats.org/officeDocument/2006/customXml" ds:itemID="{7D405F06-86BD-4E82-AFB8-A852A076238C}">
  <ds:schemaRefs>
    <ds:schemaRef ds:uri="http://schemas.microsoft.com/office/2006/metadata/properties"/>
    <ds:schemaRef ds:uri="http://www.w3.org/2000/xmlns/"/>
    <ds:schemaRef ds:uri="0b1c8c71-5c14-46ef-9c85-f6af5a95de9b"/>
    <ds:schemaRef ds:uri="http://www.w3.org/2001/XMLSchema-instance"/>
    <ds:schemaRef ds:uri="c04bd5eb-5da3-4c78-b159-2bc8443a6345"/>
    <ds:schemaRef ds:uri="http://schemas.microsoft.com/office/infopath/2007/PartnerControls"/>
  </ds:schemaRefs>
</ds:datastoreItem>
</file>

<file path=customXml/itemProps3.xml><?xml version="1.0" encoding="utf-8"?>
<ds:datastoreItem xmlns:ds="http://schemas.openxmlformats.org/officeDocument/2006/customXml" ds:itemID="{5145A5A5-00EF-479B-A91F-4A38041D5F75}"/>
</file>

<file path=docProps/app.xml><?xml version="1.0" encoding="utf-8"?>
<Properties xmlns="http://schemas.openxmlformats.org/officeDocument/2006/extended-properties" xmlns:vt="http://schemas.openxmlformats.org/officeDocument/2006/docPropsVTypes">
  <Template>Normal</Template>
  <TotalTime>10</TotalTime>
  <Pages>4</Pages>
  <Words>880</Words>
  <Characters>4755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12</cp:revision>
  <dcterms:created xsi:type="dcterms:W3CDTF">2025-12-10T15:56:00Z</dcterms:created>
  <dcterms:modified xsi:type="dcterms:W3CDTF">2025-12-10T17:16:00Z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206400</vt:r8>
  </property>
  <property fmtid="{D5CDD505-2E9C-101B-9397-08002B2CF9AE}" pid="4" name="docLang">
    <vt:lpwstr>pt</vt:lpwstr>
  </property>
  <property fmtid="{D5CDD505-2E9C-101B-9397-08002B2CF9AE}" pid="5" name="MediaServiceImageTags">
    <vt:lpwstr/>
  </property>
</Properties>
</file>