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FFC9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 - RELATÓRIO</w:t>
      </w:r>
    </w:p>
    <w:p w14:paraId="2DCEA0E0" w14:textId="158A11AB" w:rsidR="00C56EFB" w:rsidRDefault="000F3022" w:rsidP="00557182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Cuida-se de agravo de instrumento interposto</w:t>
      </w:r>
      <w:r w:rsidR="00735826">
        <w:t xml:space="preserve"> por</w:t>
      </w:r>
      <w:r w:rsidR="00557182">
        <w:t xml:space="preserve"> Levi Alves Guimarães em face de Maria Bernadete </w:t>
      </w:r>
      <w:proofErr w:type="spellStart"/>
      <w:r w:rsidR="00557182">
        <w:t>Sydor</w:t>
      </w:r>
      <w:proofErr w:type="spellEnd"/>
      <w:r w:rsidR="00557182">
        <w:t xml:space="preserve">, tendo como objeto decisão proferida pelo juízo da 2ª Vara Cível de Almirante Tamandaré, que indeferiu </w:t>
      </w:r>
      <w:r w:rsidR="007D4FAE">
        <w:t xml:space="preserve">requerimento de declaração de impenhorabilidade de verbas de alegada natureza salarial (evento </w:t>
      </w:r>
      <w:r w:rsidR="00557182">
        <w:t>129</w:t>
      </w:r>
      <w:r w:rsidR="007D4FAE">
        <w:t>.1 – autos de origem).</w:t>
      </w:r>
    </w:p>
    <w:p w14:paraId="5B68CEF1" w14:textId="2E075E52" w:rsidR="007D4FAE" w:rsidRDefault="00DA5357" w:rsidP="00033E6D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Postula </w:t>
      </w:r>
      <w:r w:rsidR="00557182">
        <w:t>o</w:t>
      </w:r>
      <w:r>
        <w:t xml:space="preserve"> agravante, em sede de liminar, a concessão de efeito recursal ativo (evento 1.1).</w:t>
      </w:r>
    </w:p>
    <w:p w14:paraId="32239D4E" w14:textId="33FF122B" w:rsidR="000F3022" w:rsidRPr="00903197" w:rsidRDefault="00033E6D" w:rsidP="00033E6D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É o necessário relato.</w:t>
      </w:r>
    </w:p>
    <w:p w14:paraId="1B56943A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63813535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 – FUNDAMENTAÇÃO</w:t>
      </w:r>
    </w:p>
    <w:p w14:paraId="64AD36E6" w14:textId="4F3B8824" w:rsidR="00557182" w:rsidRDefault="00557182" w:rsidP="00C56EFB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Embora tenha o agravante requerido a gratuidade da justiça em grau recursal, a concessão do benefício pelo juízo </w:t>
      </w:r>
      <w:r>
        <w:rPr>
          <w:i/>
          <w:iCs/>
        </w:rPr>
        <w:t>a quo</w:t>
      </w:r>
      <w:r>
        <w:t xml:space="preserve"> (evento 129.1 – autos de origem).</w:t>
      </w:r>
    </w:p>
    <w:p w14:paraId="73AB3E07" w14:textId="6521DA73" w:rsidR="00C56EFB" w:rsidRDefault="00C56EFB" w:rsidP="00C56EFB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Passa-se, à luz do disposto no</w:t>
      </w:r>
      <w:r w:rsidR="007D4FAE">
        <w:t>s</w:t>
      </w:r>
      <w:r w:rsidRPr="00903197">
        <w:t xml:space="preserve"> artigo</w:t>
      </w:r>
      <w:r w:rsidR="007D4FAE">
        <w:t>s 300 e</w:t>
      </w:r>
      <w:r w:rsidRPr="00903197">
        <w:t xml:space="preserve"> 1.019, inciso I, do Código de Processo Civil, e no artigo 182, inciso XXII, do Regimento Interno do Tribunal de Justiça, à análise do requerimento </w:t>
      </w:r>
      <w:r w:rsidR="00557182">
        <w:t>liminar</w:t>
      </w:r>
      <w:r w:rsidR="007D4FAE">
        <w:t>.</w:t>
      </w:r>
    </w:p>
    <w:p w14:paraId="51F5D315" w14:textId="77777777" w:rsidR="00557182" w:rsidRDefault="00C56EFB" w:rsidP="00C56EFB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Em que pesem os argumentos deduzidos nas razões de inconformismo, a regra de impenhorabilidade não constitui um escudo absoluto do patrimônio do devedor em desfavor da legítima pretensão de satisfação de crédito judicial.</w:t>
      </w:r>
    </w:p>
    <w:p w14:paraId="7CB28105" w14:textId="5EA4DC7B" w:rsidR="00557182" w:rsidRDefault="00557182" w:rsidP="0055718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 matéria deve</w:t>
      </w:r>
      <w:r w:rsidR="00C56EFB">
        <w:t xml:space="preserve"> interpretad</w:t>
      </w:r>
      <w:r>
        <w:t>a</w:t>
      </w:r>
      <w:r w:rsidR="00C56EFB">
        <w:t xml:space="preserve"> de maneira sistêmica, </w:t>
      </w:r>
      <w:r>
        <w:t>em consonância com o conteúdo normativo dos princípios da eficácia do processo (CPC, art. 4º) e da prevalência do interesse do credor (CPC, art. 797).</w:t>
      </w:r>
    </w:p>
    <w:p w14:paraId="3AA24E91" w14:textId="07C86898" w:rsidR="00557182" w:rsidRDefault="00C56EFB" w:rsidP="00B557EE">
      <w:pPr>
        <w:pStyle w:val="PargrafodaLista"/>
        <w:ind w:left="0"/>
        <w:contextualSpacing w:val="0"/>
      </w:pPr>
      <w:r>
        <w:t xml:space="preserve">Portanto, </w:t>
      </w:r>
      <w:r w:rsidR="00557182">
        <w:t>consoante entendimento jurisprudencial dominante, é plenamente possível a penhora de verbas oriundas de aposentadoria, se preservado o mínimo existencial da parte devedora.</w:t>
      </w:r>
    </w:p>
    <w:p w14:paraId="1D057311" w14:textId="5E0B8335" w:rsidR="00C56EFB" w:rsidRDefault="00557182" w:rsidP="00557182">
      <w:pPr>
        <w:pStyle w:val="PargrafodaLista"/>
        <w:ind w:left="0"/>
        <w:contextualSpacing w:val="0"/>
      </w:pPr>
      <w:r>
        <w:t xml:space="preserve">A </w:t>
      </w:r>
      <w:r w:rsidR="00C56EFB">
        <w:t>esse respeito:</w:t>
      </w:r>
    </w:p>
    <w:p w14:paraId="751C0C0C" w14:textId="77777777" w:rsidR="00C56EFB" w:rsidRDefault="00C56EFB" w:rsidP="00C56EFB">
      <w:pPr>
        <w:pStyle w:val="PargrafodaLista"/>
        <w:ind w:left="0"/>
        <w:contextualSpacing w:val="0"/>
      </w:pPr>
    </w:p>
    <w:p w14:paraId="50071408" w14:textId="77777777" w:rsidR="00C56EFB" w:rsidRDefault="00C56EFB" w:rsidP="00C56EFB">
      <w:pPr>
        <w:pStyle w:val="PargrafodaLista"/>
        <w:ind w:left="2268" w:firstLine="0"/>
        <w:contextualSpacing w:val="0"/>
        <w:rPr>
          <w:sz w:val="20"/>
        </w:rPr>
      </w:pPr>
      <w:r w:rsidRPr="00F658B6">
        <w:rPr>
          <w:sz w:val="20"/>
        </w:rPr>
        <w:t>PROCESSUAL CIVIL. EMBARGOS DE DIVERGÊNCIA EM RECURSO ESPECIAL. EXECUÇÃO DE TÍTULO EXTRAJUDICIAL. PENHORA. PERCENTUAL DE VERBA</w:t>
      </w:r>
      <w:r>
        <w:rPr>
          <w:sz w:val="20"/>
        </w:rPr>
        <w:t xml:space="preserve"> </w:t>
      </w:r>
      <w:r w:rsidRPr="00F658B6">
        <w:rPr>
          <w:sz w:val="20"/>
        </w:rPr>
        <w:t>SALARIAL. IMPENHORABILIDADE (ART. 833, IV e § 2º, CPC/2015). RELATIVIZAÇÃO. POSSIBILIDADE. CARÁTER EXCEPCIONAL.</w:t>
      </w:r>
      <w:r>
        <w:rPr>
          <w:sz w:val="20"/>
        </w:rPr>
        <w:t xml:space="preserve"> </w:t>
      </w:r>
      <w:r w:rsidRPr="00F658B6">
        <w:rPr>
          <w:sz w:val="20"/>
        </w:rPr>
        <w:t>1. O CPC de 2015 trata a impenhorabilidade como relativa, podendo ser mitigada à luz de um julgamento princípio lógico, mediante a ponderação dos princípios da menor onerosidade para o devedor e da efetividade da execução para o credor, ambos informados pela dignidade da pessoa humana.</w:t>
      </w:r>
      <w:r>
        <w:rPr>
          <w:sz w:val="20"/>
        </w:rPr>
        <w:t xml:space="preserve"> </w:t>
      </w:r>
      <w:r w:rsidRPr="00F658B6">
        <w:rPr>
          <w:sz w:val="20"/>
        </w:rPr>
        <w:t>2. Admite-se a relativização da regra da impenhorabilidade das verbas de natureza salarial, independentemente da natureza da dívida a ser paga e do valor recebido pelo devedor, condicionada, apenas, a que a medida constritiva não comprometa a subsistência digna do devedor e de sua família.</w:t>
      </w:r>
      <w:r>
        <w:rPr>
          <w:sz w:val="20"/>
        </w:rPr>
        <w:t xml:space="preserve"> </w:t>
      </w:r>
      <w:r w:rsidRPr="00F658B6">
        <w:rPr>
          <w:sz w:val="20"/>
        </w:rPr>
        <w:t>3. Essa relativização reveste-se de caráter excepcional e só deve ser feita quando restarem inviabilizados outros meios executórios que possam garantir a efetividade da execução e desde que avaliado concretamente o impacto da constrição na subsistência digna do devedor e de seus familiares.</w:t>
      </w:r>
      <w:r>
        <w:rPr>
          <w:sz w:val="20"/>
        </w:rPr>
        <w:t xml:space="preserve"> </w:t>
      </w:r>
      <w:r w:rsidRPr="00F658B6">
        <w:rPr>
          <w:sz w:val="20"/>
        </w:rPr>
        <w:t xml:space="preserve">4. Ao permitir, como regra geral, a mitigação da impenhorabilidade quando o devedor receber valores que excedam a 50 salários-mínimos, o § 2º do art. 833 do CPC não proíbe que haja ponderação da regra nas hipóteses de não excederem (EDcl nos </w:t>
      </w:r>
      <w:proofErr w:type="spellStart"/>
      <w:r w:rsidRPr="00F658B6">
        <w:rPr>
          <w:sz w:val="20"/>
        </w:rPr>
        <w:t>EREsp</w:t>
      </w:r>
      <w:proofErr w:type="spellEnd"/>
      <w:r w:rsidRPr="00F658B6">
        <w:rPr>
          <w:sz w:val="20"/>
        </w:rPr>
        <w:t xml:space="preserve"> n. 1.518.169/DF, relatora Ministra Nancy Andrighi, Corte Especial, </w:t>
      </w:r>
      <w:proofErr w:type="spellStart"/>
      <w:r w:rsidRPr="00F658B6">
        <w:rPr>
          <w:sz w:val="20"/>
        </w:rPr>
        <w:t>DJe</w:t>
      </w:r>
      <w:proofErr w:type="spellEnd"/>
      <w:r w:rsidRPr="00F658B6">
        <w:rPr>
          <w:sz w:val="20"/>
        </w:rPr>
        <w:t xml:space="preserve"> de 24.5.2019).</w:t>
      </w:r>
      <w:r>
        <w:rPr>
          <w:sz w:val="20"/>
        </w:rPr>
        <w:t xml:space="preserve"> </w:t>
      </w:r>
      <w:r w:rsidRPr="00F658B6">
        <w:rPr>
          <w:sz w:val="20"/>
        </w:rPr>
        <w:t>5. Embargos de divergência conhecidos e providos.</w:t>
      </w:r>
      <w:r>
        <w:rPr>
          <w:sz w:val="20"/>
        </w:rPr>
        <w:t xml:space="preserve"> </w:t>
      </w:r>
      <w:r w:rsidRPr="00F658B6">
        <w:rPr>
          <w:sz w:val="20"/>
        </w:rPr>
        <w:t>(</w:t>
      </w:r>
      <w:r>
        <w:rPr>
          <w:sz w:val="20"/>
        </w:rPr>
        <w:t xml:space="preserve">STJ. Corte Especial. Relator: Ministro João Otávio de Noronha. </w:t>
      </w:r>
      <w:proofErr w:type="spellStart"/>
      <w:r w:rsidRPr="00F658B6">
        <w:rPr>
          <w:sz w:val="20"/>
        </w:rPr>
        <w:t>EREsp</w:t>
      </w:r>
      <w:proofErr w:type="spellEnd"/>
      <w:r w:rsidRPr="00F658B6">
        <w:rPr>
          <w:sz w:val="20"/>
        </w:rPr>
        <w:t xml:space="preserve"> n. 1.874.222/DF</w:t>
      </w:r>
      <w:r>
        <w:rPr>
          <w:sz w:val="20"/>
        </w:rPr>
        <w:t>. Data de julgamento: 19-04-2023. Data de publicação: 24-05-2023).</w:t>
      </w:r>
    </w:p>
    <w:p w14:paraId="3A98517F" w14:textId="77777777" w:rsidR="00C56EFB" w:rsidRDefault="00C56EFB" w:rsidP="00C56EFB">
      <w:pPr>
        <w:pStyle w:val="PargrafodaLista"/>
        <w:ind w:left="2268" w:firstLine="0"/>
        <w:contextualSpacing w:val="0"/>
        <w:rPr>
          <w:sz w:val="20"/>
        </w:rPr>
      </w:pPr>
    </w:p>
    <w:p w14:paraId="007B3FC5" w14:textId="44586FF7" w:rsidR="00C56EFB" w:rsidRDefault="00C56EFB" w:rsidP="00C56EFB">
      <w:pPr>
        <w:pStyle w:val="PargrafodaLista"/>
        <w:ind w:left="2268" w:firstLine="0"/>
        <w:contextualSpacing w:val="0"/>
        <w:rPr>
          <w:sz w:val="20"/>
        </w:rPr>
      </w:pPr>
      <w:r w:rsidRPr="00F658B6">
        <w:rPr>
          <w:sz w:val="20"/>
        </w:rPr>
        <w:t xml:space="preserve">AGRAVO DE INSTRUMENTO – CUMPRIMENTO DE SENTENÇA </w:t>
      </w:r>
      <w:r>
        <w:rPr>
          <w:sz w:val="20"/>
        </w:rPr>
        <w:t xml:space="preserve">– </w:t>
      </w:r>
      <w:r w:rsidRPr="00F658B6">
        <w:rPr>
          <w:sz w:val="20"/>
        </w:rPr>
        <w:t>AÇÃO MONITÓRIA – INDEFERIMENTO DE PENHORA – 30% SOBRE O VENCIMENTO – SERVIDORA MUNICIPAL - LONGO PERÍODO E INÚMERAS DILIGÊNCIAS - NÃO LOCALIZAÇÃO DE BENS DO DEVEDOR SUFICIENTES PARA SALDAR O DÉBITO – MITIGAÇÃO DA REGRA DA IMPENHORABILIDADE DO SALÁRIO – POSSIBILIDADE - PRESERVAÇÃO DO MÍNIMO EXISTENCIAL DO DEVEDOR – PRECEDENTES - PERCENTUAL RAZOÁVEL – EXECUÇÃO – INTERESSE DO CREDOR – DECISÃO REFORMADA - RECURSO CONHECIDO E PROVIDO. (</w:t>
      </w:r>
      <w:proofErr w:type="spellStart"/>
      <w:r w:rsidRPr="00F658B6">
        <w:rPr>
          <w:sz w:val="20"/>
        </w:rPr>
        <w:t>TJPR</w:t>
      </w:r>
      <w:proofErr w:type="spellEnd"/>
      <w:r>
        <w:rPr>
          <w:sz w:val="20"/>
        </w:rPr>
        <w:t xml:space="preserve">. 19ª Câmara Cível. Relator: Desembargador Domingos José </w:t>
      </w:r>
      <w:proofErr w:type="spellStart"/>
      <w:r>
        <w:rPr>
          <w:sz w:val="20"/>
        </w:rPr>
        <w:t>Perfetto</w:t>
      </w:r>
      <w:proofErr w:type="spellEnd"/>
      <w:r>
        <w:rPr>
          <w:sz w:val="20"/>
        </w:rPr>
        <w:t xml:space="preserve">. Agravo de instrumento. </w:t>
      </w:r>
      <w:r w:rsidRPr="00F658B6">
        <w:rPr>
          <w:sz w:val="20"/>
        </w:rPr>
        <w:t>0079083- 44.2023.8.16.0000</w:t>
      </w:r>
      <w:r>
        <w:rPr>
          <w:sz w:val="20"/>
        </w:rPr>
        <w:t xml:space="preserve">. </w:t>
      </w:r>
      <w:r w:rsidRPr="00F658B6">
        <w:rPr>
          <w:sz w:val="20"/>
        </w:rPr>
        <w:t>Campina Grande do Sul</w:t>
      </w:r>
      <w:r>
        <w:rPr>
          <w:sz w:val="20"/>
        </w:rPr>
        <w:t>. Data de julgamento: 13-11-2023).</w:t>
      </w:r>
    </w:p>
    <w:p w14:paraId="134A18C0" w14:textId="77777777" w:rsidR="00C56EFB" w:rsidRDefault="00C56EFB" w:rsidP="00C56EFB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371F92BC" w14:textId="423A2F0F" w:rsidR="00507A09" w:rsidRDefault="00C56EFB" w:rsidP="00B557EE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No caso dos autos, </w:t>
      </w:r>
      <w:r w:rsidR="00B557EE">
        <w:t xml:space="preserve">não há demonstração axiomática, empiricamente verificável, de que a penhora representa risco </w:t>
      </w:r>
      <w:r>
        <w:t>à subsistência d</w:t>
      </w:r>
      <w:r w:rsidR="00507A09">
        <w:t>o devedor, que sequer quantificou suas necessidades mensais básicas.</w:t>
      </w:r>
    </w:p>
    <w:p w14:paraId="5A1D5288" w14:textId="089472DE" w:rsidR="00B557EE" w:rsidRDefault="00B557EE" w:rsidP="00C56EFB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Nessas condições</w:t>
      </w:r>
      <w:r w:rsidR="00507A09">
        <w:t>,</w:t>
      </w:r>
      <w:r w:rsidR="00DA5357">
        <w:t xml:space="preserve"> não se vislumbra probabilidade de provimento recursal</w:t>
      </w:r>
      <w:r w:rsidR="00507A09">
        <w:t>,</w:t>
      </w:r>
      <w:r w:rsidR="00507A09">
        <w:t xml:space="preserve"> em juízo de proporcionalidade,</w:t>
      </w:r>
      <w:r w:rsidR="00507A09">
        <w:t xml:space="preserve"> para</w:t>
      </w:r>
      <w:r w:rsidR="00DA5357">
        <w:t xml:space="preserve"> justificar a antecipação dos efeitos da tutela recursal</w:t>
      </w:r>
      <w:r w:rsidR="00507A09">
        <w:t xml:space="preserve"> almejada.</w:t>
      </w:r>
    </w:p>
    <w:p w14:paraId="60D388D2" w14:textId="31F41535" w:rsidR="00C56EFB" w:rsidRPr="00903197" w:rsidRDefault="00C56EFB" w:rsidP="00C56EFB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A presente decisão, entrementes, é concebida em estado </w:t>
      </w:r>
      <w:r>
        <w:rPr>
          <w:i/>
        </w:rPr>
        <w:t>rebus sic stantibus</w:t>
      </w:r>
      <w:r>
        <w:t>, passível de alteração pelo colegiado.</w:t>
      </w:r>
    </w:p>
    <w:p w14:paraId="0710968E" w14:textId="77777777" w:rsidR="000F3022" w:rsidRPr="00903197" w:rsidRDefault="000F3022" w:rsidP="00797163">
      <w:pPr>
        <w:pStyle w:val="NormalWeb"/>
        <w:spacing w:before="0" w:beforeAutospacing="0" w:after="240" w:afterAutospacing="0" w:line="360" w:lineRule="auto"/>
        <w:ind w:left="709" w:hanging="709"/>
        <w:jc w:val="both"/>
      </w:pPr>
    </w:p>
    <w:p w14:paraId="226C6B94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III – DECISÃO</w:t>
      </w:r>
    </w:p>
    <w:p w14:paraId="3467C3C4" w14:textId="286DE58A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Ante o exposto, </w:t>
      </w:r>
      <w:r w:rsidR="006936AA">
        <w:t xml:space="preserve">indefere-se </w:t>
      </w:r>
      <w:r w:rsidR="00507A09">
        <w:t>a concessão do efeito ativo</w:t>
      </w:r>
      <w:r w:rsidR="006936AA">
        <w:t>.</w:t>
      </w:r>
    </w:p>
    <w:p w14:paraId="0BCDF61F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Comunique-se ao juízo </w:t>
      </w:r>
      <w:r w:rsidRPr="00903197">
        <w:rPr>
          <w:i/>
          <w:iCs/>
        </w:rPr>
        <w:t>a quo</w:t>
      </w:r>
      <w:r w:rsidRPr="00903197">
        <w:t xml:space="preserve"> o teor desta decisão.</w:t>
      </w:r>
    </w:p>
    <w:p w14:paraId="7767B469" w14:textId="77777777" w:rsidR="00D72BA8" w:rsidRPr="00903197" w:rsidRDefault="00D72BA8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Intime-se a parte agravada, facultando-se resposta no prazo legal (CPC, art. 1.019, II).</w:t>
      </w:r>
    </w:p>
    <w:p w14:paraId="60812657" w14:textId="6054F8DA" w:rsidR="00DA36D7" w:rsidRPr="00903197" w:rsidRDefault="00D72BA8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Após, concluam-se os autos.</w:t>
      </w:r>
    </w:p>
    <w:sectPr w:rsidR="00DA36D7" w:rsidRPr="00903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33E6D"/>
    <w:rsid w:val="000F3022"/>
    <w:rsid w:val="001C172B"/>
    <w:rsid w:val="001D5E35"/>
    <w:rsid w:val="002A7FA2"/>
    <w:rsid w:val="002B3C29"/>
    <w:rsid w:val="00330A80"/>
    <w:rsid w:val="00507A09"/>
    <w:rsid w:val="005378C7"/>
    <w:rsid w:val="00557182"/>
    <w:rsid w:val="005A4213"/>
    <w:rsid w:val="006936AA"/>
    <w:rsid w:val="006E73AD"/>
    <w:rsid w:val="006F27C0"/>
    <w:rsid w:val="00704CE9"/>
    <w:rsid w:val="00727FE5"/>
    <w:rsid w:val="00733889"/>
    <w:rsid w:val="00735826"/>
    <w:rsid w:val="00797163"/>
    <w:rsid w:val="007D4FAE"/>
    <w:rsid w:val="00805977"/>
    <w:rsid w:val="00842209"/>
    <w:rsid w:val="008B106C"/>
    <w:rsid w:val="00903197"/>
    <w:rsid w:val="00935666"/>
    <w:rsid w:val="009561A7"/>
    <w:rsid w:val="00A153DD"/>
    <w:rsid w:val="00AA1AC5"/>
    <w:rsid w:val="00B557EE"/>
    <w:rsid w:val="00BD3F10"/>
    <w:rsid w:val="00C56EFB"/>
    <w:rsid w:val="00C82265"/>
    <w:rsid w:val="00C957C8"/>
    <w:rsid w:val="00D61D7E"/>
    <w:rsid w:val="00D72BA8"/>
    <w:rsid w:val="00DA36D7"/>
    <w:rsid w:val="00DA5357"/>
    <w:rsid w:val="00DF5BEC"/>
    <w:rsid w:val="00E17886"/>
    <w:rsid w:val="00E231DA"/>
    <w:rsid w:val="00E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F73"/>
  <w15:chartTrackingRefBased/>
  <w15:docId w15:val="{C6A62FBA-12A7-48D2-B566-EFDA20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302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56EFB"/>
    <w:pPr>
      <w:suppressAutoHyphens w:val="0"/>
      <w:overflowPunct/>
      <w:autoSpaceDE/>
      <w:spacing w:after="240" w:line="360" w:lineRule="auto"/>
      <w:ind w:left="720" w:firstLine="709"/>
      <w:contextualSpacing/>
      <w:jc w:val="both"/>
      <w:textAlignment w:val="auto"/>
    </w:pPr>
    <w:rPr>
      <w:rFonts w:eastAsiaTheme="minorHAnsi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E4E45F-81C7-436B-8993-EFF2384318F5}"/>
</file>

<file path=customXml/itemProps2.xml><?xml version="1.0" encoding="utf-8"?>
<ds:datastoreItem xmlns:ds="http://schemas.openxmlformats.org/officeDocument/2006/customXml" ds:itemID="{0CF884D4-08DA-4ABE-801C-2943D1728505}"/>
</file>

<file path=customXml/itemProps3.xml><?xml version="1.0" encoding="utf-8"?>
<ds:datastoreItem xmlns:ds="http://schemas.openxmlformats.org/officeDocument/2006/customXml" ds:itemID="{46F5F0E3-3083-4E05-A811-5F47C4E1FD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701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28</cp:revision>
  <dcterms:created xsi:type="dcterms:W3CDTF">2023-10-16T20:56:00Z</dcterms:created>
  <dcterms:modified xsi:type="dcterms:W3CDTF">2025-04-07T17:30:00Z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369800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