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03043" w14:textId="6BF04439" w:rsidR="00273D35" w:rsidRPr="00273D35" w:rsidRDefault="00273D35" w:rsidP="00273D35">
      <w:pPr>
        <w:spacing w:after="240" w:line="360" w:lineRule="auto"/>
        <w:ind w:firstLine="709"/>
        <w:jc w:val="both"/>
        <w:rPr>
          <w:rFonts w:ascii="Times New Roman" w:hAnsi="Times New Roman" w:cs="Times New Roman"/>
          <w:b/>
          <w:sz w:val="24"/>
        </w:rPr>
      </w:pPr>
      <w:r w:rsidRPr="00273D35">
        <w:rPr>
          <w:rFonts w:ascii="Times New Roman" w:hAnsi="Times New Roman" w:cs="Times New Roman"/>
          <w:b/>
          <w:sz w:val="24"/>
        </w:rPr>
        <w:t xml:space="preserve">DIREITO PROCESSUAL CIVIL. AGRAVO DE INSTRUMENTO. </w:t>
      </w:r>
      <w:r w:rsidR="00DC51E4">
        <w:rPr>
          <w:rFonts w:ascii="Times New Roman" w:hAnsi="Times New Roman" w:cs="Times New Roman"/>
          <w:b/>
          <w:sz w:val="24"/>
        </w:rPr>
        <w:t>HOMOLOGAÇÃO DE ACORDO.</w:t>
      </w:r>
      <w:r w:rsidRPr="00273D35">
        <w:rPr>
          <w:rFonts w:ascii="Times New Roman" w:hAnsi="Times New Roman" w:cs="Times New Roman"/>
          <w:b/>
          <w:sz w:val="24"/>
        </w:rPr>
        <w:t xml:space="preserve"> PERDA </w:t>
      </w:r>
      <w:r w:rsidR="00DC51E4">
        <w:rPr>
          <w:rFonts w:ascii="Times New Roman" w:hAnsi="Times New Roman" w:cs="Times New Roman"/>
          <w:b/>
          <w:sz w:val="24"/>
        </w:rPr>
        <w:t>SUPERVENIENTE DO</w:t>
      </w:r>
      <w:r w:rsidRPr="00273D35">
        <w:rPr>
          <w:rFonts w:ascii="Times New Roman" w:hAnsi="Times New Roman" w:cs="Times New Roman"/>
          <w:b/>
          <w:sz w:val="24"/>
        </w:rPr>
        <w:t xml:space="preserve"> OBJETO RECURSAL. RECURSO NÃO CONHECIDO. </w:t>
      </w:r>
    </w:p>
    <w:p w14:paraId="55D83CBA" w14:textId="77777777" w:rsidR="00273D35" w:rsidRPr="00273D35" w:rsidRDefault="00273D35" w:rsidP="00273D35">
      <w:pPr>
        <w:spacing w:after="240" w:line="360" w:lineRule="auto"/>
        <w:ind w:firstLine="709"/>
        <w:jc w:val="both"/>
        <w:rPr>
          <w:rFonts w:ascii="Times New Roman" w:hAnsi="Times New Roman" w:cs="Times New Roman"/>
          <w:b/>
          <w:sz w:val="24"/>
        </w:rPr>
      </w:pPr>
      <w:r w:rsidRPr="00273D35">
        <w:rPr>
          <w:rFonts w:ascii="Times New Roman" w:hAnsi="Times New Roman" w:cs="Times New Roman"/>
          <w:b/>
          <w:sz w:val="24"/>
        </w:rPr>
        <w:t>I. CASO EM EXAME</w:t>
      </w:r>
    </w:p>
    <w:p w14:paraId="639E82DC" w14:textId="6FCACDCA" w:rsidR="00273D35" w:rsidRPr="00273D35" w:rsidRDefault="00273D35" w:rsidP="00273D35">
      <w:pPr>
        <w:spacing w:after="240" w:line="360" w:lineRule="auto"/>
        <w:ind w:firstLine="709"/>
        <w:jc w:val="both"/>
        <w:rPr>
          <w:rFonts w:ascii="Times New Roman" w:hAnsi="Times New Roman" w:cs="Times New Roman"/>
          <w:b/>
          <w:sz w:val="24"/>
        </w:rPr>
      </w:pPr>
      <w:r w:rsidRPr="00273D35">
        <w:rPr>
          <w:rFonts w:ascii="Times New Roman" w:hAnsi="Times New Roman" w:cs="Times New Roman"/>
          <w:b/>
          <w:sz w:val="24"/>
        </w:rPr>
        <w:t xml:space="preserve">Agravo de instrumento interposto contra decisão </w:t>
      </w:r>
      <w:r w:rsidR="00DC51E4">
        <w:rPr>
          <w:rFonts w:ascii="Times New Roman" w:hAnsi="Times New Roman" w:cs="Times New Roman"/>
          <w:b/>
          <w:sz w:val="24"/>
        </w:rPr>
        <w:t>que acolheu incidente de desconsideração da personalidade jurídica.</w:t>
      </w:r>
    </w:p>
    <w:p w14:paraId="530F2336" w14:textId="77777777" w:rsidR="00273D35" w:rsidRPr="00273D35" w:rsidRDefault="00273D35" w:rsidP="00273D35">
      <w:pPr>
        <w:spacing w:after="240" w:line="360" w:lineRule="auto"/>
        <w:ind w:firstLine="709"/>
        <w:jc w:val="both"/>
        <w:rPr>
          <w:rFonts w:ascii="Times New Roman" w:hAnsi="Times New Roman" w:cs="Times New Roman"/>
          <w:b/>
          <w:sz w:val="24"/>
        </w:rPr>
      </w:pPr>
      <w:r w:rsidRPr="00273D35">
        <w:rPr>
          <w:rFonts w:ascii="Times New Roman" w:hAnsi="Times New Roman" w:cs="Times New Roman"/>
          <w:b/>
          <w:sz w:val="24"/>
        </w:rPr>
        <w:t>II. QUESTÃO EM DISCUSSÃO</w:t>
      </w:r>
    </w:p>
    <w:p w14:paraId="06C6C109" w14:textId="499B3C4C" w:rsidR="00273D35" w:rsidRPr="00273D35" w:rsidRDefault="00DC51E4" w:rsidP="00273D35">
      <w:pPr>
        <w:spacing w:after="240" w:line="360" w:lineRule="auto"/>
        <w:ind w:firstLine="709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Análise de eventual perda superveniente do objeto recursal, em razão da notícia da homologação de acordo em primeiro grau</w:t>
      </w:r>
      <w:r w:rsidR="00273D35" w:rsidRPr="00273D35">
        <w:rPr>
          <w:rFonts w:ascii="Times New Roman" w:hAnsi="Times New Roman" w:cs="Times New Roman"/>
          <w:b/>
          <w:sz w:val="24"/>
        </w:rPr>
        <w:t>.</w:t>
      </w:r>
    </w:p>
    <w:p w14:paraId="11E837C3" w14:textId="77777777" w:rsidR="00273D35" w:rsidRPr="00273D35" w:rsidRDefault="00273D35" w:rsidP="00273D35">
      <w:pPr>
        <w:spacing w:after="240" w:line="360" w:lineRule="auto"/>
        <w:ind w:firstLine="709"/>
        <w:jc w:val="both"/>
        <w:rPr>
          <w:rFonts w:ascii="Times New Roman" w:hAnsi="Times New Roman" w:cs="Times New Roman"/>
          <w:b/>
          <w:sz w:val="24"/>
        </w:rPr>
      </w:pPr>
      <w:r w:rsidRPr="00273D35">
        <w:rPr>
          <w:rFonts w:ascii="Times New Roman" w:hAnsi="Times New Roman" w:cs="Times New Roman"/>
          <w:b/>
          <w:sz w:val="24"/>
        </w:rPr>
        <w:t>III. RAZÕES DE DECIDIR</w:t>
      </w:r>
    </w:p>
    <w:p w14:paraId="14AFDDE1" w14:textId="1E3FB9C8" w:rsidR="00273D35" w:rsidRPr="00273D35" w:rsidRDefault="00DC51E4" w:rsidP="00DC51E4">
      <w:pPr>
        <w:spacing w:after="240" w:line="360" w:lineRule="auto"/>
        <w:ind w:firstLine="709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A autocomposição, </w:t>
      </w:r>
      <w:r w:rsidR="00273D35" w:rsidRPr="00273D35">
        <w:rPr>
          <w:rFonts w:ascii="Times New Roman" w:hAnsi="Times New Roman" w:cs="Times New Roman"/>
          <w:b/>
          <w:sz w:val="24"/>
        </w:rPr>
        <w:t xml:space="preserve">resultando na homologação do acordo e extinção do processo, </w:t>
      </w:r>
      <w:r>
        <w:rPr>
          <w:rFonts w:ascii="Times New Roman" w:hAnsi="Times New Roman" w:cs="Times New Roman"/>
          <w:b/>
          <w:sz w:val="24"/>
        </w:rPr>
        <w:t xml:space="preserve">enseja </w:t>
      </w:r>
      <w:r w:rsidR="00273D35" w:rsidRPr="00273D35">
        <w:rPr>
          <w:rFonts w:ascii="Times New Roman" w:hAnsi="Times New Roman" w:cs="Times New Roman"/>
          <w:b/>
          <w:sz w:val="24"/>
        </w:rPr>
        <w:t>a perda do objeto recursal.</w:t>
      </w:r>
    </w:p>
    <w:p w14:paraId="557EDA3F" w14:textId="77777777" w:rsidR="00273D35" w:rsidRPr="00273D35" w:rsidRDefault="00273D35" w:rsidP="00273D35">
      <w:pPr>
        <w:spacing w:after="240" w:line="360" w:lineRule="auto"/>
        <w:ind w:firstLine="709"/>
        <w:jc w:val="both"/>
        <w:rPr>
          <w:rFonts w:ascii="Times New Roman" w:hAnsi="Times New Roman" w:cs="Times New Roman"/>
          <w:b/>
          <w:sz w:val="24"/>
        </w:rPr>
      </w:pPr>
      <w:r w:rsidRPr="00273D35">
        <w:rPr>
          <w:rFonts w:ascii="Times New Roman" w:hAnsi="Times New Roman" w:cs="Times New Roman"/>
          <w:b/>
          <w:sz w:val="24"/>
        </w:rPr>
        <w:t>IV. DISPOSITIVO E TESE</w:t>
      </w:r>
    </w:p>
    <w:p w14:paraId="7E878EA1" w14:textId="77777777" w:rsidR="00273D35" w:rsidRDefault="00273D35" w:rsidP="00273D35">
      <w:pPr>
        <w:spacing w:after="240" w:line="360" w:lineRule="auto"/>
        <w:ind w:firstLine="709"/>
        <w:jc w:val="both"/>
        <w:rPr>
          <w:rFonts w:ascii="Times New Roman" w:hAnsi="Times New Roman" w:cs="Times New Roman"/>
          <w:b/>
          <w:sz w:val="24"/>
        </w:rPr>
      </w:pPr>
      <w:r w:rsidRPr="00273D35">
        <w:rPr>
          <w:rFonts w:ascii="Times New Roman" w:hAnsi="Times New Roman" w:cs="Times New Roman"/>
          <w:b/>
          <w:sz w:val="24"/>
        </w:rPr>
        <w:t>Recurso não conhecido.</w:t>
      </w:r>
    </w:p>
    <w:p w14:paraId="05AEDE74" w14:textId="73DD690E" w:rsidR="00273D35" w:rsidRDefault="00273D35" w:rsidP="00273D35">
      <w:pPr>
        <w:spacing w:after="240" w:line="360" w:lineRule="auto"/>
        <w:ind w:firstLine="709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V. LEGISLAÇÃO UTILIZADA</w:t>
      </w:r>
    </w:p>
    <w:p w14:paraId="6C161409" w14:textId="6BB47688" w:rsidR="00DC51E4" w:rsidRDefault="00273D35" w:rsidP="00DC51E4">
      <w:pPr>
        <w:spacing w:after="240" w:line="360" w:lineRule="auto"/>
        <w:ind w:firstLine="709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Código de Processo Civil:</w:t>
      </w:r>
      <w:r w:rsidR="00DC51E4">
        <w:rPr>
          <w:rFonts w:ascii="Times New Roman" w:hAnsi="Times New Roman" w:cs="Times New Roman"/>
          <w:b/>
          <w:sz w:val="24"/>
        </w:rPr>
        <w:t xml:space="preserve"> art. 932, III; art. 1.000.</w:t>
      </w:r>
    </w:p>
    <w:p w14:paraId="584FC4BD" w14:textId="370670BA" w:rsidR="00273D35" w:rsidRPr="00273D35" w:rsidRDefault="00273D35" w:rsidP="00273D35">
      <w:pPr>
        <w:spacing w:after="240" w:line="360" w:lineRule="auto"/>
        <w:ind w:firstLine="709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Regimento Interno do Tribunal de Justiça do Estado do Paraná:</w:t>
      </w:r>
      <w:r w:rsidR="00DC51E4">
        <w:rPr>
          <w:rFonts w:ascii="Times New Roman" w:hAnsi="Times New Roman" w:cs="Times New Roman"/>
          <w:b/>
          <w:sz w:val="24"/>
        </w:rPr>
        <w:t xml:space="preserve"> </w:t>
      </w:r>
      <w:r w:rsidR="00DC51E4" w:rsidRPr="00DC51E4">
        <w:rPr>
          <w:rFonts w:ascii="Times New Roman" w:hAnsi="Times New Roman" w:cs="Times New Roman"/>
          <w:b/>
          <w:sz w:val="24"/>
        </w:rPr>
        <w:t xml:space="preserve">art. </w:t>
      </w:r>
      <w:r w:rsidR="00DC51E4" w:rsidRPr="00DC51E4">
        <w:rPr>
          <w:rFonts w:ascii="Times New Roman" w:hAnsi="Times New Roman" w:cs="Times New Roman"/>
          <w:b/>
          <w:sz w:val="24"/>
        </w:rPr>
        <w:t>182, inciso XIX</w:t>
      </w:r>
      <w:r w:rsidR="00DC51E4" w:rsidRPr="00DC51E4">
        <w:rPr>
          <w:rFonts w:ascii="Times New Roman" w:hAnsi="Times New Roman" w:cs="Times New Roman"/>
          <w:b/>
          <w:sz w:val="24"/>
        </w:rPr>
        <w:t>.</w:t>
      </w:r>
    </w:p>
    <w:p w14:paraId="09CB0AEE" w14:textId="77777777" w:rsidR="00DC51E4" w:rsidRDefault="00DC51E4" w:rsidP="00273D35">
      <w:pPr>
        <w:spacing w:after="240" w:line="360" w:lineRule="auto"/>
        <w:ind w:firstLine="709"/>
        <w:jc w:val="both"/>
        <w:rPr>
          <w:rFonts w:ascii="Times New Roman" w:hAnsi="Times New Roman" w:cs="Times New Roman"/>
          <w:b/>
          <w:sz w:val="24"/>
        </w:rPr>
      </w:pPr>
    </w:p>
    <w:p w14:paraId="59DB7BD7" w14:textId="0D1F6DFC" w:rsidR="00FB09A9" w:rsidRPr="00FB09A9" w:rsidRDefault="00FB09A9" w:rsidP="00273D35">
      <w:pPr>
        <w:spacing w:after="24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B09A9">
        <w:rPr>
          <w:rFonts w:ascii="Times New Roman" w:hAnsi="Times New Roman" w:cs="Times New Roman"/>
          <w:b/>
          <w:sz w:val="24"/>
        </w:rPr>
        <w:t xml:space="preserve">I – </w:t>
      </w:r>
      <w:r w:rsidRPr="00FB09A9">
        <w:rPr>
          <w:rFonts w:ascii="Times New Roman" w:hAnsi="Times New Roman" w:cs="Times New Roman"/>
          <w:b/>
          <w:sz w:val="24"/>
          <w:szCs w:val="24"/>
        </w:rPr>
        <w:t>RELATÓRIO</w:t>
      </w:r>
    </w:p>
    <w:p w14:paraId="2C852AFA" w14:textId="3DDB5976" w:rsidR="00273D35" w:rsidRDefault="00FB09A9" w:rsidP="004A220E">
      <w:pPr>
        <w:spacing w:after="24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Trata-se de agravo de instrumento </w:t>
      </w:r>
      <w:r w:rsidR="00273D35">
        <w:rPr>
          <w:rFonts w:ascii="Times New Roman" w:hAnsi="Times New Roman" w:cs="Times New Roman"/>
          <w:sz w:val="24"/>
          <w:szCs w:val="24"/>
        </w:rPr>
        <w:t xml:space="preserve">interposto por </w:t>
      </w:r>
      <w:r w:rsidR="004A220E">
        <w:rPr>
          <w:rFonts w:ascii="Times New Roman" w:hAnsi="Times New Roman" w:cs="Times New Roman"/>
          <w:sz w:val="24"/>
          <w:szCs w:val="24"/>
        </w:rPr>
        <w:t xml:space="preserve">RE Brasil Empreendimentos Imobiliários Ltda. </w:t>
      </w:r>
      <w:r w:rsidR="00273D35">
        <w:rPr>
          <w:rFonts w:ascii="Times New Roman" w:hAnsi="Times New Roman" w:cs="Times New Roman"/>
          <w:sz w:val="24"/>
          <w:szCs w:val="24"/>
        </w:rPr>
        <w:t>em face de Eliana Priscila Massuia Cordela e Kleber Eduardo Barbosa Dias, tendo como objeto decisão proferida pelo juízo da 8ª Vara Cível de Londrina (evento 1.1).</w:t>
      </w:r>
    </w:p>
    <w:p w14:paraId="70F48DAA" w14:textId="0822FD85" w:rsidR="00273D35" w:rsidRDefault="00273D35" w:rsidP="00273D35">
      <w:pPr>
        <w:spacing w:after="24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Após a interposição, sobreveio informação de homologação de acordo e extinção do feito com julgamento de mérito na origem (evento </w:t>
      </w:r>
      <w:r w:rsidR="004A220E">
        <w:rPr>
          <w:rFonts w:ascii="Times New Roman" w:hAnsi="Times New Roman" w:cs="Times New Roman"/>
          <w:sz w:val="24"/>
          <w:szCs w:val="24"/>
        </w:rPr>
        <w:t>21</w:t>
      </w:r>
      <w:r>
        <w:rPr>
          <w:rFonts w:ascii="Times New Roman" w:hAnsi="Times New Roman" w:cs="Times New Roman"/>
          <w:sz w:val="24"/>
          <w:szCs w:val="24"/>
        </w:rPr>
        <w:t>.1).</w:t>
      </w:r>
    </w:p>
    <w:p w14:paraId="198B2FC3" w14:textId="77777777" w:rsidR="00FB09A9" w:rsidRDefault="00FB09A9" w:rsidP="00273D35">
      <w:pPr>
        <w:spacing w:after="240" w:line="360" w:lineRule="auto"/>
        <w:ind w:firstLine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É o relatório.</w:t>
      </w:r>
    </w:p>
    <w:p w14:paraId="0BB40EE7" w14:textId="77777777" w:rsidR="00FB09A9" w:rsidRDefault="00FB09A9" w:rsidP="00273D35">
      <w:pPr>
        <w:spacing w:after="240" w:line="360" w:lineRule="auto"/>
        <w:ind w:firstLine="709"/>
        <w:jc w:val="both"/>
        <w:rPr>
          <w:rFonts w:ascii="Times New Roman" w:hAnsi="Times New Roman" w:cs="Times New Roman"/>
          <w:sz w:val="24"/>
        </w:rPr>
      </w:pPr>
    </w:p>
    <w:p w14:paraId="15AC7D33" w14:textId="672E37B8" w:rsidR="00FB09A9" w:rsidRPr="00FB09A9" w:rsidRDefault="00FB09A9" w:rsidP="00273D35">
      <w:pPr>
        <w:spacing w:after="240" w:line="360" w:lineRule="auto"/>
        <w:ind w:firstLine="709"/>
        <w:jc w:val="both"/>
        <w:rPr>
          <w:rFonts w:ascii="Times New Roman" w:hAnsi="Times New Roman" w:cs="Times New Roman"/>
          <w:b/>
          <w:sz w:val="24"/>
        </w:rPr>
      </w:pPr>
      <w:r w:rsidRPr="00FB09A9">
        <w:rPr>
          <w:rFonts w:ascii="Times New Roman" w:hAnsi="Times New Roman" w:cs="Times New Roman"/>
          <w:b/>
          <w:sz w:val="24"/>
        </w:rPr>
        <w:t xml:space="preserve">II – FUNDAMENTAÇÃO </w:t>
      </w:r>
    </w:p>
    <w:p w14:paraId="154BD9BB" w14:textId="3E07B0ED" w:rsidR="00FB09A9" w:rsidRDefault="00FB09A9" w:rsidP="00273D35">
      <w:pPr>
        <w:spacing w:after="240" w:line="360" w:lineRule="auto"/>
        <w:ind w:firstLine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As partes promoveram autocomposição endoprocessual, submetendo-a ao crivo do Poder Judiciário (evento </w:t>
      </w:r>
      <w:r w:rsidR="00273D35">
        <w:rPr>
          <w:rFonts w:ascii="Times New Roman" w:hAnsi="Times New Roman" w:cs="Times New Roman"/>
          <w:sz w:val="24"/>
        </w:rPr>
        <w:t>166</w:t>
      </w:r>
      <w:r>
        <w:rPr>
          <w:rFonts w:ascii="Times New Roman" w:hAnsi="Times New Roman" w:cs="Times New Roman"/>
          <w:sz w:val="24"/>
        </w:rPr>
        <w:t>.1 – autos de origem).</w:t>
      </w:r>
    </w:p>
    <w:p w14:paraId="19ECAA5C" w14:textId="77777777" w:rsidR="00FB09A9" w:rsidRDefault="00FB09A9" w:rsidP="00273D35">
      <w:pPr>
        <w:spacing w:after="240" w:line="360" w:lineRule="auto"/>
        <w:ind w:firstLine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O juízo </w:t>
      </w:r>
      <w:r>
        <w:rPr>
          <w:rFonts w:ascii="Times New Roman" w:hAnsi="Times New Roman" w:cs="Times New Roman"/>
          <w:i/>
          <w:sz w:val="24"/>
        </w:rPr>
        <w:t>a quo</w:t>
      </w:r>
      <w:r>
        <w:rPr>
          <w:rFonts w:ascii="Times New Roman" w:hAnsi="Times New Roman" w:cs="Times New Roman"/>
          <w:sz w:val="24"/>
        </w:rPr>
        <w:t xml:space="preserve">, após defluir a regularidade do pacto, homologou-o, declarando extinto o processo por sentença definitiva, ausente impugnação dos interessados. </w:t>
      </w:r>
    </w:p>
    <w:p w14:paraId="27505394" w14:textId="77777777" w:rsidR="00FB09A9" w:rsidRDefault="00FB09A9" w:rsidP="00273D35">
      <w:pPr>
        <w:spacing w:after="240" w:line="360" w:lineRule="auto"/>
        <w:ind w:firstLine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Como se observa, a indigitada situação jurídica provoca a perda superveniente do objeto e, portanto, conclama ao reconhecimento da ausência de interesse recursal, à luz do que dispõe o art. 1.000, do Código de Processo Civil. </w:t>
      </w:r>
    </w:p>
    <w:p w14:paraId="4FA32B88" w14:textId="77777777" w:rsidR="00FB09A9" w:rsidRDefault="00FB09A9" w:rsidP="00273D35">
      <w:pPr>
        <w:spacing w:after="240" w:line="360" w:lineRule="auto"/>
        <w:ind w:firstLine="709"/>
        <w:jc w:val="both"/>
        <w:rPr>
          <w:rFonts w:ascii="Times New Roman" w:hAnsi="Times New Roman" w:cs="Times New Roman"/>
          <w:sz w:val="24"/>
        </w:rPr>
      </w:pPr>
    </w:p>
    <w:p w14:paraId="41C9E748" w14:textId="77777777" w:rsidR="00FB09A9" w:rsidRPr="00FB09A9" w:rsidRDefault="00FB09A9" w:rsidP="00273D35">
      <w:pPr>
        <w:spacing w:after="240" w:line="360" w:lineRule="auto"/>
        <w:ind w:firstLine="709"/>
        <w:jc w:val="both"/>
        <w:rPr>
          <w:rFonts w:ascii="Times New Roman" w:hAnsi="Times New Roman" w:cs="Times New Roman"/>
          <w:b/>
          <w:sz w:val="24"/>
        </w:rPr>
      </w:pPr>
      <w:r w:rsidRPr="00FB09A9">
        <w:rPr>
          <w:rFonts w:ascii="Times New Roman" w:hAnsi="Times New Roman" w:cs="Times New Roman"/>
          <w:b/>
          <w:sz w:val="24"/>
        </w:rPr>
        <w:t>III – DECISÃO</w:t>
      </w:r>
    </w:p>
    <w:p w14:paraId="79BA9E0D" w14:textId="762FE0D6" w:rsidR="00FB09A9" w:rsidRDefault="00FB09A9" w:rsidP="00273D35">
      <w:pPr>
        <w:spacing w:after="240" w:line="360" w:lineRule="auto"/>
        <w:ind w:firstLine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Ante o exposto, com fu</w:t>
      </w:r>
      <w:r w:rsidR="00273D35">
        <w:rPr>
          <w:rFonts w:ascii="Times New Roman" w:hAnsi="Times New Roman" w:cs="Times New Roman"/>
          <w:sz w:val="24"/>
        </w:rPr>
        <w:t xml:space="preserve">ndamento no </w:t>
      </w:r>
      <w:r>
        <w:rPr>
          <w:rFonts w:ascii="Times New Roman" w:hAnsi="Times New Roman" w:cs="Times New Roman"/>
          <w:sz w:val="24"/>
        </w:rPr>
        <w:t xml:space="preserve">artigo 932, inciso III, do Código de Processo Civil e no artigo 182, inciso XIX, do Regimento Interno do Tribunal de Justiça do Paraná, não se conhece do presente recurso. </w:t>
      </w:r>
    </w:p>
    <w:p w14:paraId="074E6451" w14:textId="4FDA8B70" w:rsidR="00FB09A9" w:rsidRDefault="00273D35" w:rsidP="00273D35">
      <w:pPr>
        <w:spacing w:after="240" w:line="360" w:lineRule="auto"/>
        <w:ind w:firstLine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Intimem</w:t>
      </w:r>
      <w:r w:rsidR="00FB09A9">
        <w:rPr>
          <w:rFonts w:ascii="Times New Roman" w:hAnsi="Times New Roman" w:cs="Times New Roman"/>
          <w:sz w:val="24"/>
        </w:rPr>
        <w:t>-se.</w:t>
      </w:r>
    </w:p>
    <w:p w14:paraId="7B1B28F0" w14:textId="5104EBC8" w:rsidR="004D2FC2" w:rsidRDefault="00FB09A9" w:rsidP="00273D35">
      <w:pPr>
        <w:spacing w:after="240" w:line="360" w:lineRule="auto"/>
        <w:ind w:firstLine="709"/>
        <w:jc w:val="both"/>
      </w:pPr>
      <w:r>
        <w:rPr>
          <w:rFonts w:ascii="Times New Roman" w:hAnsi="Times New Roman" w:cs="Times New Roman"/>
          <w:sz w:val="24"/>
        </w:rPr>
        <w:t>Oportunamente, arquivem-se.</w:t>
      </w:r>
    </w:p>
    <w:sectPr w:rsidR="004D2FC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09A9"/>
    <w:rsid w:val="00134F93"/>
    <w:rsid w:val="00273D35"/>
    <w:rsid w:val="004533B6"/>
    <w:rsid w:val="004A220E"/>
    <w:rsid w:val="004D2FC2"/>
    <w:rsid w:val="00DC51E4"/>
    <w:rsid w:val="00E13B84"/>
    <w:rsid w:val="00FB0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93A1C5"/>
  <w15:chartTrackingRefBased/>
  <w15:docId w15:val="{6DF4DBB4-3DC2-4989-82F8-66FD12C89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09A9"/>
    <w:pPr>
      <w:spacing w:line="254" w:lineRule="auto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LO-normal">
    <w:name w:val="LO-normal"/>
    <w:qFormat/>
    <w:rsid w:val="00E13B84"/>
    <w:pPr>
      <w:suppressAutoHyphens/>
      <w:spacing w:line="276" w:lineRule="auto"/>
    </w:pPr>
    <w:rPr>
      <w:rFonts w:ascii="Aptos" w:eastAsia="Aptos" w:hAnsi="Aptos" w:cs="Aptos"/>
      <w:sz w:val="24"/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9230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47196AB5BBE5E429A3A4541B64F6B06" ma:contentTypeVersion="11" ma:contentTypeDescription="Crie um novo documento." ma:contentTypeScope="" ma:versionID="f9b77c0a9ca16248db2a354a9324d574">
  <xsd:schema xmlns:xsd="http://www.w3.org/2001/XMLSchema" xmlns:xs="http://www.w3.org/2001/XMLSchema" xmlns:p="http://schemas.microsoft.com/office/2006/metadata/properties" xmlns:ns2="c04bd5eb-5da3-4c78-b159-2bc8443a6345" xmlns:ns3="0b1c8c71-5c14-46ef-9c85-f6af5a95de9b" targetNamespace="http://schemas.microsoft.com/office/2006/metadata/properties" ma:root="true" ma:fieldsID="f83b46afa82d5de6e7294c7773150add" ns2:_="" ns3:_="">
    <xsd:import namespace="c04bd5eb-5da3-4c78-b159-2bc8443a6345"/>
    <xsd:import namespace="0b1c8c71-5c14-46ef-9c85-f6af5a95de9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4bd5eb-5da3-4c78-b159-2bc8443a634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Marcações de imagem" ma:readOnly="false" ma:fieldId="{5cf76f15-5ced-4ddc-b409-7134ff3c332f}" ma:taxonomyMulti="true" ma:sspId="b67eaf0a-f2cb-4adb-8ec3-a80bcab9db5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1c8c71-5c14-46ef-9c85-f6af5a95de9b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e74af078-3d5b-4a80-9ae6-49a763dfa133}" ma:internalName="TaxCatchAll" ma:showField="CatchAllData" ma:web="0b1c8c71-5c14-46ef-9c85-f6af5a95de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b1c8c71-5c14-46ef-9c85-f6af5a95de9b" xsi:nil="true"/>
    <lcf76f155ced4ddcb4097134ff3c332f xmlns="c04bd5eb-5da3-4c78-b159-2bc8443a634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6B9C623-A294-4022-AF12-A4B07AC17379}"/>
</file>

<file path=customXml/itemProps2.xml><?xml version="1.0" encoding="utf-8"?>
<ds:datastoreItem xmlns:ds="http://schemas.openxmlformats.org/officeDocument/2006/customXml" ds:itemID="{59CFD609-B78E-4076-AE70-142E2E76C2ED}"/>
</file>

<file path=customXml/itemProps3.xml><?xml version="1.0" encoding="utf-8"?>
<ds:datastoreItem xmlns:ds="http://schemas.openxmlformats.org/officeDocument/2006/customXml" ds:itemID="{CE9BE435-701F-40C0-A0EF-A521DF97247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</Pages>
  <Words>309</Words>
  <Characters>1674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Tribunal de Justiça do Estado do Paraná</Company>
  <LinksUpToDate>false</LinksUpToDate>
  <CharactersWithSpaces>1980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Rafaela Gebran Schirmer</dc:creator>
  <cp:keywords/>
  <dc:description/>
  <cp:lastModifiedBy>Cleysson Willian Vilaca de Jesus</cp:lastModifiedBy>
  <cp:revision>3</cp:revision>
  <dcterms:created xsi:type="dcterms:W3CDTF">2024-11-22T18:57:00Z</dcterms:created>
  <dcterms:modified xsi:type="dcterms:W3CDTF">2025-04-08T20:39:00Z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0x010100047196AB5BBE5E429A3A4541B64F6B06</vt:lpwstr>
  </property>
  <property fmtid="{D5CDD505-2E9C-101B-9397-08002B2CF9AE}" pid="3" name="Order">
    <vt:r8>369200</vt:r8>
  </property>
  <property fmtid="{D5CDD505-2E9C-101B-9397-08002B2CF9AE}" pid="4" name="MediaServiceImageTags">
    <vt:lpwstr/>
  </property>
  <property fmtid="{D5CDD505-2E9C-101B-9397-08002B2CF9AE}" pid="6" name="docLang">
    <vt:lpwstr>pt</vt:lpwstr>
  </property>
</Properties>
</file>