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03043" w14:textId="6F468FAE" w:rsidR="00273D35" w:rsidRPr="00273D35" w:rsidRDefault="00A067C6" w:rsidP="008818E6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DECISÃO MONOCRÁTICA. </w:t>
      </w:r>
      <w:r w:rsidR="00273D35" w:rsidRPr="00273D35">
        <w:rPr>
          <w:rFonts w:ascii="Times New Roman" w:hAnsi="Times New Roman" w:cs="Times New Roman"/>
          <w:b/>
          <w:sz w:val="24"/>
        </w:rPr>
        <w:t xml:space="preserve">DIREITO PROCESSUAL CIVIL. AGRAVO DE INSTRUMENTO. </w:t>
      </w:r>
      <w:r w:rsidR="008818E6">
        <w:rPr>
          <w:rFonts w:ascii="Times New Roman" w:hAnsi="Times New Roman" w:cs="Times New Roman"/>
          <w:b/>
          <w:sz w:val="24"/>
        </w:rPr>
        <w:t xml:space="preserve">PROLAÇÃO DE SENTENÇA. </w:t>
      </w:r>
      <w:r w:rsidR="00273D35" w:rsidRPr="00273D35">
        <w:rPr>
          <w:rFonts w:ascii="Times New Roman" w:hAnsi="Times New Roman" w:cs="Times New Roman"/>
          <w:b/>
          <w:sz w:val="24"/>
        </w:rPr>
        <w:t xml:space="preserve">PERDA </w:t>
      </w:r>
      <w:r w:rsidR="00DC51E4">
        <w:rPr>
          <w:rFonts w:ascii="Times New Roman" w:hAnsi="Times New Roman" w:cs="Times New Roman"/>
          <w:b/>
          <w:sz w:val="24"/>
        </w:rPr>
        <w:t>SUPERVENIENTE DO</w:t>
      </w:r>
      <w:r w:rsidR="00273D35" w:rsidRPr="00273D35">
        <w:rPr>
          <w:rFonts w:ascii="Times New Roman" w:hAnsi="Times New Roman" w:cs="Times New Roman"/>
          <w:b/>
          <w:sz w:val="24"/>
        </w:rPr>
        <w:t xml:space="preserve"> OBJETO RECURSAL. RECURSO NÃO CONHECIDO.</w:t>
      </w:r>
    </w:p>
    <w:p w14:paraId="55D83CBA" w14:textId="77777777" w:rsidR="00273D35" w:rsidRP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>I. CASO EM EXAME</w:t>
      </w:r>
    </w:p>
    <w:p w14:paraId="0A37486E" w14:textId="77777777" w:rsidR="00A067C6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 xml:space="preserve">Agravo de instrumento interposto contra decisão </w:t>
      </w:r>
      <w:r w:rsidR="00DC51E4">
        <w:rPr>
          <w:rFonts w:ascii="Times New Roman" w:hAnsi="Times New Roman" w:cs="Times New Roman"/>
          <w:b/>
          <w:sz w:val="24"/>
        </w:rPr>
        <w:t xml:space="preserve">que </w:t>
      </w:r>
      <w:r w:rsidR="00A067C6">
        <w:rPr>
          <w:rFonts w:ascii="Times New Roman" w:hAnsi="Times New Roman" w:cs="Times New Roman"/>
          <w:b/>
          <w:sz w:val="24"/>
        </w:rPr>
        <w:t>indeferiu tutela de urgência para suspensão de leilão extrajudicial.</w:t>
      </w:r>
    </w:p>
    <w:p w14:paraId="530F2336" w14:textId="77777777" w:rsidR="00273D35" w:rsidRP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>II. QUESTÃO EM DISCUSSÃO</w:t>
      </w:r>
    </w:p>
    <w:p w14:paraId="06C6C109" w14:textId="650B8D72" w:rsidR="00273D35" w:rsidRPr="00273D35" w:rsidRDefault="00DC51E4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Análise de eventual perda superveniente do objeto recursal, em </w:t>
      </w:r>
      <w:r w:rsidR="00A067C6">
        <w:rPr>
          <w:rFonts w:ascii="Times New Roman" w:hAnsi="Times New Roman" w:cs="Times New Roman"/>
          <w:b/>
          <w:sz w:val="24"/>
        </w:rPr>
        <w:t>razão da prolação de sentença extintiva em primeiro grau.</w:t>
      </w:r>
    </w:p>
    <w:p w14:paraId="11E837C3" w14:textId="77777777" w:rsidR="00273D35" w:rsidRP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>III. RAZÕES DE DECIDIR</w:t>
      </w:r>
    </w:p>
    <w:p w14:paraId="14AFDDE1" w14:textId="112ECFAA" w:rsidR="00273D35" w:rsidRPr="00273D35" w:rsidRDefault="00A067C6" w:rsidP="00DC51E4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 julgamento do processo em primeiro grau torna prejudicado o objeto de agravo de instrumento contra decisão interlocutória negativa de tutela de urgência</w:t>
      </w:r>
      <w:r w:rsidR="00273D35" w:rsidRPr="00273D35">
        <w:rPr>
          <w:rFonts w:ascii="Times New Roman" w:hAnsi="Times New Roman" w:cs="Times New Roman"/>
          <w:b/>
          <w:sz w:val="24"/>
        </w:rPr>
        <w:t>.</w:t>
      </w:r>
    </w:p>
    <w:p w14:paraId="557EDA3F" w14:textId="77777777" w:rsidR="00273D35" w:rsidRP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>IV. DISPOSITIVO E TESE</w:t>
      </w:r>
    </w:p>
    <w:p w14:paraId="7E878EA1" w14:textId="77777777" w:rsid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273D35">
        <w:rPr>
          <w:rFonts w:ascii="Times New Roman" w:hAnsi="Times New Roman" w:cs="Times New Roman"/>
          <w:b/>
          <w:sz w:val="24"/>
        </w:rPr>
        <w:t>Recurso não conhecido.</w:t>
      </w:r>
    </w:p>
    <w:p w14:paraId="05AEDE74" w14:textId="73DD690E" w:rsid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V. LEGISLAÇÃO UTILIZADA</w:t>
      </w:r>
    </w:p>
    <w:p w14:paraId="6C161409" w14:textId="79B6B95B" w:rsidR="00DC51E4" w:rsidRDefault="00273D35" w:rsidP="00DC51E4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Código de Processo Civil:</w:t>
      </w:r>
      <w:r w:rsidR="00DC51E4">
        <w:rPr>
          <w:rFonts w:ascii="Times New Roman" w:hAnsi="Times New Roman" w:cs="Times New Roman"/>
          <w:b/>
          <w:sz w:val="24"/>
        </w:rPr>
        <w:t xml:space="preserve"> art. 932, III.</w:t>
      </w:r>
    </w:p>
    <w:p w14:paraId="584FC4BD" w14:textId="370670BA" w:rsidR="00273D35" w:rsidRP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Regimento Interno do Tribunal de Justiça do Estado do Paraná:</w:t>
      </w:r>
      <w:r w:rsidR="00DC51E4">
        <w:rPr>
          <w:rFonts w:ascii="Times New Roman" w:hAnsi="Times New Roman" w:cs="Times New Roman"/>
          <w:b/>
          <w:sz w:val="24"/>
        </w:rPr>
        <w:t xml:space="preserve"> </w:t>
      </w:r>
      <w:r w:rsidR="00DC51E4" w:rsidRPr="00DC51E4">
        <w:rPr>
          <w:rFonts w:ascii="Times New Roman" w:hAnsi="Times New Roman" w:cs="Times New Roman"/>
          <w:b/>
          <w:sz w:val="24"/>
        </w:rPr>
        <w:t>art. 182, inciso XIX.</w:t>
      </w:r>
    </w:p>
    <w:p w14:paraId="09CB0AEE" w14:textId="77777777" w:rsidR="00DC51E4" w:rsidRDefault="00DC51E4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14:paraId="59DB7BD7" w14:textId="0D1F6DFC" w:rsidR="00FB09A9" w:rsidRP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09A9">
        <w:rPr>
          <w:rFonts w:ascii="Times New Roman" w:hAnsi="Times New Roman" w:cs="Times New Roman"/>
          <w:b/>
          <w:sz w:val="24"/>
        </w:rPr>
        <w:t xml:space="preserve">I – </w:t>
      </w:r>
      <w:r w:rsidRPr="00FB09A9">
        <w:rPr>
          <w:rFonts w:ascii="Times New Roman" w:hAnsi="Times New Roman" w:cs="Times New Roman"/>
          <w:b/>
          <w:sz w:val="24"/>
          <w:szCs w:val="24"/>
        </w:rPr>
        <w:t>RELATÓRIO</w:t>
      </w:r>
    </w:p>
    <w:p w14:paraId="30BFAD3E" w14:textId="2EFBBBCF" w:rsidR="00A067C6" w:rsidRDefault="00FB09A9" w:rsidP="004A220E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Trata-se de agravo de instrumento </w:t>
      </w:r>
      <w:r w:rsidR="00273D35">
        <w:rPr>
          <w:rFonts w:ascii="Times New Roman" w:hAnsi="Times New Roman" w:cs="Times New Roman"/>
          <w:sz w:val="24"/>
          <w:szCs w:val="24"/>
        </w:rPr>
        <w:t xml:space="preserve">interposto por </w:t>
      </w:r>
      <w:r w:rsidR="00A067C6">
        <w:rPr>
          <w:rFonts w:ascii="Times New Roman" w:hAnsi="Times New Roman" w:cs="Times New Roman"/>
          <w:sz w:val="24"/>
          <w:szCs w:val="24"/>
        </w:rPr>
        <w:t>Indústria de Implementos Agrícolas Barbosa em face de Cooperativa de Crédito – Sicoob Aliança, tendo como objeto decisão proferida pelo juízo da Vara Cível de Siqueira Campos (evento 1.1).</w:t>
      </w:r>
    </w:p>
    <w:p w14:paraId="70F48DAA" w14:textId="7C9F2931" w:rsidR="00273D35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Após a interposição, </w:t>
      </w:r>
      <w:r w:rsidR="00A067C6">
        <w:rPr>
          <w:rFonts w:ascii="Times New Roman" w:hAnsi="Times New Roman" w:cs="Times New Roman"/>
          <w:sz w:val="24"/>
          <w:szCs w:val="24"/>
        </w:rPr>
        <w:t>o processo de origem foi julgado extinto sem resolução do mérito</w:t>
      </w:r>
      <w:r>
        <w:rPr>
          <w:rFonts w:ascii="Times New Roman" w:hAnsi="Times New Roman" w:cs="Times New Roman"/>
          <w:sz w:val="24"/>
          <w:szCs w:val="24"/>
        </w:rPr>
        <w:t xml:space="preserve"> (evento </w:t>
      </w:r>
      <w:r w:rsidR="00A067C6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.1).</w:t>
      </w:r>
    </w:p>
    <w:p w14:paraId="198B2FC3" w14:textId="77777777" w:rsid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É o relatório.</w:t>
      </w:r>
    </w:p>
    <w:p w14:paraId="0BB40EE7" w14:textId="77777777" w:rsid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15AC7D33" w14:textId="672E37B8" w:rsidR="00FB09A9" w:rsidRP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FB09A9">
        <w:rPr>
          <w:rFonts w:ascii="Times New Roman" w:hAnsi="Times New Roman" w:cs="Times New Roman"/>
          <w:b/>
          <w:sz w:val="24"/>
        </w:rPr>
        <w:t xml:space="preserve">II – FUNDAMENTAÇÃO </w:t>
      </w:r>
    </w:p>
    <w:p w14:paraId="19ECAA5C" w14:textId="6D1F80F7" w:rsidR="00FB09A9" w:rsidRDefault="00A067C6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 origem, foi prolatada sentença extintiva, sem resolução de mérito, com base em ausência das condições da ação (evento 31.1 – autos de origem).</w:t>
      </w:r>
    </w:p>
    <w:p w14:paraId="27505394" w14:textId="513F052F" w:rsidR="00FB09A9" w:rsidRDefault="00A067C6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Indigitada</w:t>
      </w:r>
      <w:r w:rsidR="00FB09A9">
        <w:rPr>
          <w:rFonts w:ascii="Times New Roman" w:hAnsi="Times New Roman" w:cs="Times New Roman"/>
          <w:sz w:val="24"/>
        </w:rPr>
        <w:t xml:space="preserve"> situação jurídica provoca a perda superveniente do objeto e, portanto, conclama ao </w:t>
      </w:r>
      <w:r>
        <w:rPr>
          <w:rFonts w:ascii="Times New Roman" w:hAnsi="Times New Roman" w:cs="Times New Roman"/>
          <w:sz w:val="24"/>
        </w:rPr>
        <w:t>juízo negativo de admissibilidade.</w:t>
      </w:r>
    </w:p>
    <w:p w14:paraId="4FA32B88" w14:textId="77777777" w:rsid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41C9E748" w14:textId="77777777" w:rsidR="00FB09A9" w:rsidRP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FB09A9">
        <w:rPr>
          <w:rFonts w:ascii="Times New Roman" w:hAnsi="Times New Roman" w:cs="Times New Roman"/>
          <w:b/>
          <w:sz w:val="24"/>
        </w:rPr>
        <w:t>III – DECISÃO</w:t>
      </w:r>
    </w:p>
    <w:p w14:paraId="79BA9E0D" w14:textId="0103091D" w:rsidR="00FB09A9" w:rsidRDefault="00FB09A9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Ante o exposto, com fu</w:t>
      </w:r>
      <w:r w:rsidR="00273D35">
        <w:rPr>
          <w:rFonts w:ascii="Times New Roman" w:hAnsi="Times New Roman" w:cs="Times New Roman"/>
          <w:sz w:val="24"/>
        </w:rPr>
        <w:t xml:space="preserve">ndamento no </w:t>
      </w:r>
      <w:r>
        <w:rPr>
          <w:rFonts w:ascii="Times New Roman" w:hAnsi="Times New Roman" w:cs="Times New Roman"/>
          <w:sz w:val="24"/>
        </w:rPr>
        <w:t>artigo 932, inciso III, do Código de Processo Civil e no artigo 182, inciso XIX, do Regimento Interno do Tribunal de Justiça do Paraná, não se conhece do presente recurso.</w:t>
      </w:r>
    </w:p>
    <w:p w14:paraId="074E6451" w14:textId="4FDA8B70" w:rsidR="00FB09A9" w:rsidRDefault="00273D35" w:rsidP="00273D35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Intimem</w:t>
      </w:r>
      <w:r w:rsidR="00FB09A9">
        <w:rPr>
          <w:rFonts w:ascii="Times New Roman" w:hAnsi="Times New Roman" w:cs="Times New Roman"/>
          <w:sz w:val="24"/>
        </w:rPr>
        <w:t>-se.</w:t>
      </w:r>
    </w:p>
    <w:p w14:paraId="7B1B28F0" w14:textId="5104EBC8" w:rsidR="004D2FC2" w:rsidRDefault="00FB09A9" w:rsidP="00273D35">
      <w:pPr>
        <w:spacing w:after="240" w:line="360" w:lineRule="auto"/>
        <w:ind w:firstLine="709"/>
        <w:jc w:val="both"/>
      </w:pPr>
      <w:r>
        <w:rPr>
          <w:rFonts w:ascii="Times New Roman" w:hAnsi="Times New Roman" w:cs="Times New Roman"/>
          <w:sz w:val="24"/>
        </w:rPr>
        <w:t>Oportunamente, arquivem-se.</w:t>
      </w:r>
    </w:p>
    <w:sectPr w:rsidR="004D2F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9A9"/>
    <w:rsid w:val="00134F93"/>
    <w:rsid w:val="00273D35"/>
    <w:rsid w:val="004533B6"/>
    <w:rsid w:val="004A220E"/>
    <w:rsid w:val="004D2FC2"/>
    <w:rsid w:val="004F59D2"/>
    <w:rsid w:val="008818E6"/>
    <w:rsid w:val="009D42C6"/>
    <w:rsid w:val="00A067C6"/>
    <w:rsid w:val="00CE1A08"/>
    <w:rsid w:val="00DC51E4"/>
    <w:rsid w:val="00E13B84"/>
    <w:rsid w:val="00FB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3A1C5"/>
  <w15:chartTrackingRefBased/>
  <w15:docId w15:val="{6DF4DBB4-3DC2-4989-82F8-66FD12C8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9A9"/>
    <w:pPr>
      <w:spacing w:line="254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O-normal">
    <w:name w:val="LO-normal"/>
    <w:qFormat/>
    <w:rsid w:val="00E13B84"/>
    <w:pPr>
      <w:suppressAutoHyphens/>
      <w:spacing w:line="276" w:lineRule="auto"/>
    </w:pPr>
    <w:rPr>
      <w:rFonts w:ascii="Aptos" w:eastAsia="Aptos" w:hAnsi="Aptos" w:cs="Aptos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3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5FD5B2-22EE-4D49-8D15-EB03438555E1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2.xml><?xml version="1.0" encoding="utf-8"?>
<ds:datastoreItem xmlns:ds="http://schemas.openxmlformats.org/officeDocument/2006/customXml" ds:itemID="{55379196-9872-4C09-8A19-2F40EFE50F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4B11B8-7096-43CC-A86C-AAB246F7A4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258</Words>
  <Characters>1472</Characters>
  <Application>Microsoft Office Word</Application>
  <DocSecurity>0</DocSecurity>
  <Lines>39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Gebran Schirmer</dc:creator>
  <cp:keywords/>
  <dc:description/>
  <cp:lastModifiedBy>Cleysson Willian Vilaca de Jesus</cp:lastModifiedBy>
  <cp:revision>5</cp:revision>
  <dcterms:created xsi:type="dcterms:W3CDTF">2024-11-22T18:57:00Z</dcterms:created>
  <dcterms:modified xsi:type="dcterms:W3CDTF">2025-12-17T17:17:00Z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400000</vt:r8>
  </property>
  <property fmtid="{D5CDD505-2E9C-101B-9397-08002B2CF9AE}" pid="4" name="MediaServiceImageTags">
    <vt:lpwstr/>
  </property>
  <property fmtid="{D5CDD505-2E9C-101B-9397-08002B2CF9AE}" pid="6" name="docLang">
    <vt:lpwstr>pt</vt:lpwstr>
  </property>
</Properties>
</file>