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6D4EF" w14:textId="5AB61761" w:rsidR="00706906" w:rsidRDefault="00706906" w:rsidP="00146748">
      <w:pPr>
        <w:ind w:firstLine="0"/>
        <w:rPr>
          <w:b/>
        </w:rPr>
      </w:pPr>
      <w:r>
        <w:rPr>
          <w:b/>
        </w:rPr>
        <w:t xml:space="preserve">DIREITO PENAL E PROCESSUAL PENAL. REVISÃO CRIMINAL. </w:t>
      </w:r>
      <w:r w:rsidR="00F0399D">
        <w:rPr>
          <w:b/>
        </w:rPr>
        <w:t>TRÁFICO ILÍCITO DE ENTORPECENTES. ASSOCIAÇÃO PARA O TRÁFICO.</w:t>
      </w:r>
      <w:r w:rsidR="00DB37F8">
        <w:rPr>
          <w:b/>
        </w:rPr>
        <w:t xml:space="preserve"> ADMISSIBILIDADE. TEORIA DA ASSERÇÃO.</w:t>
      </w:r>
      <w:r w:rsidR="00F0399D">
        <w:rPr>
          <w:b/>
        </w:rPr>
        <w:t xml:space="preserve"> DOSIMETRIA. PRIMEIRA FASE. QUANTIDADE. PROPORCIONALIDADE. CAUSA DE AUMENTO. </w:t>
      </w:r>
      <w:r w:rsidR="00DB37F8">
        <w:rPr>
          <w:b/>
        </w:rPr>
        <w:t>CRIME PRATICADO NO INTERIOR DE ESTABELECIMENTO PRISIONAL. IMPROCEDÊNCIA.</w:t>
      </w:r>
    </w:p>
    <w:p w14:paraId="137555FE" w14:textId="77777777" w:rsidR="00AB02E8" w:rsidRDefault="00146748" w:rsidP="00146748">
      <w:pPr>
        <w:ind w:firstLine="0"/>
        <w:rPr>
          <w:b/>
        </w:rPr>
      </w:pPr>
      <w:r w:rsidRPr="00146748">
        <w:rPr>
          <w:b/>
        </w:rPr>
        <w:t>I. CASO EM EXAME</w:t>
      </w:r>
    </w:p>
    <w:p w14:paraId="0C8D5745" w14:textId="790A1E2B" w:rsidR="00AB02E8" w:rsidRPr="00146748" w:rsidRDefault="00AB02E8" w:rsidP="00706906">
      <w:pPr>
        <w:ind w:firstLine="0"/>
        <w:rPr>
          <w:b/>
        </w:rPr>
      </w:pPr>
      <w:r>
        <w:rPr>
          <w:b/>
        </w:rPr>
        <w:t>R</w:t>
      </w:r>
      <w:r w:rsidRPr="00AB02E8">
        <w:rPr>
          <w:b/>
        </w:rPr>
        <w:t xml:space="preserve">evisão criminal ajuizada contra </w:t>
      </w:r>
      <w:r>
        <w:rPr>
          <w:b/>
        </w:rPr>
        <w:t>condenação pela prática dos crimes de tráfico e associação para o tráfico</w:t>
      </w:r>
      <w:r w:rsidR="005C2BB2">
        <w:rPr>
          <w:b/>
        </w:rPr>
        <w:t xml:space="preserve">, com aumento da pena-base pela quantidade de entorpecentes e incidência da majorante atinente ao cometimento da infração no interior de estabelecimento prisional. O requerente </w:t>
      </w:r>
      <w:r w:rsidRPr="00AB02E8">
        <w:rPr>
          <w:b/>
        </w:rPr>
        <w:t xml:space="preserve">busca a recomposição da dosimetria, requerendo o </w:t>
      </w:r>
      <w:r w:rsidR="005C2BB2">
        <w:rPr>
          <w:b/>
        </w:rPr>
        <w:t xml:space="preserve">afastamento da exasperação na primeira fase e </w:t>
      </w:r>
      <w:r w:rsidR="00706906">
        <w:rPr>
          <w:b/>
        </w:rPr>
        <w:t>da causa especial de aumento.</w:t>
      </w:r>
    </w:p>
    <w:p w14:paraId="6BB4A4A5" w14:textId="6D786167" w:rsidR="00146748" w:rsidRDefault="00146748" w:rsidP="00146748">
      <w:pPr>
        <w:ind w:firstLine="0"/>
        <w:rPr>
          <w:b/>
        </w:rPr>
      </w:pPr>
      <w:r w:rsidRPr="00146748">
        <w:rPr>
          <w:b/>
        </w:rPr>
        <w:t>II. QUEST</w:t>
      </w:r>
      <w:r w:rsidR="006A791B">
        <w:rPr>
          <w:b/>
        </w:rPr>
        <w:t>ÕES</w:t>
      </w:r>
      <w:r w:rsidRPr="00146748">
        <w:rPr>
          <w:b/>
        </w:rPr>
        <w:t xml:space="preserve"> EM DISCUSSÃO</w:t>
      </w:r>
    </w:p>
    <w:p w14:paraId="602DFB77" w14:textId="77777777" w:rsidR="006A791B" w:rsidRDefault="006A791B" w:rsidP="006A791B">
      <w:pPr>
        <w:ind w:firstLine="0"/>
        <w:rPr>
          <w:b/>
        </w:rPr>
      </w:pPr>
      <w:r>
        <w:rPr>
          <w:b/>
        </w:rPr>
        <w:t>II.I. Exame de admissibilidade da revisão criminal.</w:t>
      </w:r>
    </w:p>
    <w:p w14:paraId="5F14FA8A" w14:textId="77777777" w:rsidR="006A791B" w:rsidRPr="00783489" w:rsidRDefault="006A791B" w:rsidP="006A791B">
      <w:pPr>
        <w:ind w:firstLine="0"/>
        <w:rPr>
          <w:b/>
        </w:rPr>
      </w:pPr>
      <w:r>
        <w:rPr>
          <w:b/>
        </w:rPr>
        <w:t xml:space="preserve">II.II. Avaliar se </w:t>
      </w:r>
      <w:r w:rsidRPr="00783489">
        <w:rPr>
          <w:b/>
        </w:rPr>
        <w:t>os fundamentos apresentados caracterizam a hipótese de decisão contrária ao texto expresso da lei ou à evidência dos autos, ou se configuram indevida utilização da via revisional como sucedâneo recursal para o reexame de provas.</w:t>
      </w:r>
    </w:p>
    <w:p w14:paraId="7BD502AF" w14:textId="6679F18A" w:rsidR="00146748" w:rsidRDefault="00146748" w:rsidP="00146748">
      <w:pPr>
        <w:ind w:firstLine="0"/>
        <w:rPr>
          <w:b/>
        </w:rPr>
      </w:pPr>
      <w:r w:rsidRPr="00146748">
        <w:rPr>
          <w:b/>
        </w:rPr>
        <w:t>III. RAZÕES DE DECIDIR</w:t>
      </w:r>
    </w:p>
    <w:p w14:paraId="7E9BB4E8" w14:textId="77777777" w:rsidR="006A791B" w:rsidRPr="00783489" w:rsidRDefault="006A791B" w:rsidP="006A791B">
      <w:pPr>
        <w:ind w:firstLine="0"/>
        <w:rPr>
          <w:b/>
        </w:rPr>
      </w:pPr>
      <w:r>
        <w:rPr>
          <w:b/>
        </w:rPr>
        <w:t>III.I.</w:t>
      </w:r>
      <w:r w:rsidRPr="00783489">
        <w:rPr>
          <w:b/>
        </w:rPr>
        <w:t xml:space="preserve"> </w:t>
      </w:r>
      <w:r>
        <w:rPr>
          <w:b/>
        </w:rPr>
        <w:t xml:space="preserve">O interesse processual para a revisão criminal, fundamentada na hipótese do artigo </w:t>
      </w:r>
      <w:r w:rsidRPr="00783489">
        <w:rPr>
          <w:b/>
        </w:rPr>
        <w:t>621, inciso I, do Código de Processo Penal</w:t>
      </w:r>
      <w:r>
        <w:rPr>
          <w:b/>
        </w:rPr>
        <w:t>, deve ser aferido à luz da teoria da asserção, segundo as afirmações contidas na petição inicial.</w:t>
      </w:r>
    </w:p>
    <w:p w14:paraId="36782B2F" w14:textId="099E967E" w:rsidR="006A791B" w:rsidRDefault="00E17DFC" w:rsidP="006A791B">
      <w:pPr>
        <w:ind w:firstLine="0"/>
        <w:rPr>
          <w:b/>
        </w:rPr>
      </w:pPr>
      <w:r>
        <w:rPr>
          <w:b/>
        </w:rPr>
        <w:t xml:space="preserve">III.II. </w:t>
      </w:r>
      <w:r w:rsidR="00D6767C">
        <w:rPr>
          <w:b/>
        </w:rPr>
        <w:t>A</w:t>
      </w:r>
      <w:r w:rsidR="00E916D6">
        <w:rPr>
          <w:b/>
        </w:rPr>
        <w:t xml:space="preserve"> readequação da dosimetria em sede de revisão criminal pressupõe efetiva demonstração </w:t>
      </w:r>
      <w:r w:rsidR="00D6767C">
        <w:rPr>
          <w:b/>
        </w:rPr>
        <w:t>de erro judiciário, caracterizado por contrariedade à evidência dos autos ou a texto expresso da lei.</w:t>
      </w:r>
    </w:p>
    <w:p w14:paraId="6AF28E16" w14:textId="77777777" w:rsidR="00146748" w:rsidRDefault="00146748" w:rsidP="00146748">
      <w:pPr>
        <w:ind w:firstLine="0"/>
        <w:rPr>
          <w:b/>
        </w:rPr>
      </w:pPr>
      <w:r w:rsidRPr="00146748">
        <w:rPr>
          <w:b/>
        </w:rPr>
        <w:t>IV. SOLUÇÃO DO CASO</w:t>
      </w:r>
    </w:p>
    <w:p w14:paraId="4F2A74F9" w14:textId="149330B4" w:rsidR="006A791B" w:rsidRPr="00146748" w:rsidRDefault="006A791B" w:rsidP="00146748">
      <w:pPr>
        <w:ind w:firstLine="0"/>
        <w:rPr>
          <w:b/>
        </w:rPr>
      </w:pPr>
      <w:r>
        <w:rPr>
          <w:b/>
        </w:rPr>
        <w:t>Revisão criminal conhecida e julgada improcedente.</w:t>
      </w:r>
    </w:p>
    <w:p w14:paraId="34905683" w14:textId="79C94E94" w:rsidR="00146748" w:rsidRDefault="00146748" w:rsidP="00146748">
      <w:pPr>
        <w:ind w:firstLine="0"/>
        <w:rPr>
          <w:b/>
        </w:rPr>
      </w:pPr>
      <w:r w:rsidRPr="00146748">
        <w:rPr>
          <w:b/>
        </w:rPr>
        <w:t xml:space="preserve">V. </w:t>
      </w:r>
      <w:r w:rsidR="00CC17AA">
        <w:rPr>
          <w:b/>
        </w:rPr>
        <w:t>LEGISLAÇÃO E JURISPRUDÊNCIA UTILIZADAS</w:t>
      </w:r>
    </w:p>
    <w:p w14:paraId="206717D3" w14:textId="77777777" w:rsidR="001C2D4C" w:rsidRDefault="001C2D4C" w:rsidP="00146748">
      <w:pPr>
        <w:ind w:firstLine="0"/>
        <w:rPr>
          <w:b/>
        </w:rPr>
      </w:pPr>
      <w:r>
        <w:rPr>
          <w:b/>
        </w:rPr>
        <w:t>V. I. Legislação</w:t>
      </w:r>
    </w:p>
    <w:p w14:paraId="3FE61ACF" w14:textId="25CCC286" w:rsidR="00C175E9" w:rsidRDefault="00C175E9" w:rsidP="00146748">
      <w:pPr>
        <w:ind w:firstLine="0"/>
        <w:rPr>
          <w:b/>
        </w:rPr>
      </w:pPr>
      <w:r>
        <w:rPr>
          <w:b/>
        </w:rPr>
        <w:t xml:space="preserve">Lei n.º 11.343 de 2006: art. 33; art. </w:t>
      </w:r>
      <w:r w:rsidR="001C4E8D">
        <w:rPr>
          <w:b/>
        </w:rPr>
        <w:t>35; art. 40, III.</w:t>
      </w:r>
    </w:p>
    <w:p w14:paraId="6C225942" w14:textId="0D1BBFD2" w:rsidR="001C4E8D" w:rsidRDefault="001C4E8D" w:rsidP="00146748">
      <w:pPr>
        <w:ind w:firstLine="0"/>
        <w:rPr>
          <w:b/>
        </w:rPr>
      </w:pPr>
      <w:r>
        <w:rPr>
          <w:b/>
        </w:rPr>
        <w:t xml:space="preserve">CP: art. </w:t>
      </w:r>
      <w:r w:rsidR="006A791B">
        <w:rPr>
          <w:b/>
        </w:rPr>
        <w:t>621, I.</w:t>
      </w:r>
    </w:p>
    <w:p w14:paraId="019BC04E" w14:textId="4A18EE49" w:rsidR="00AA28DF" w:rsidRDefault="001C2D4C" w:rsidP="00372AAB">
      <w:pPr>
        <w:ind w:firstLine="0"/>
        <w:rPr>
          <w:b/>
        </w:rPr>
      </w:pPr>
      <w:r>
        <w:rPr>
          <w:b/>
        </w:rPr>
        <w:t xml:space="preserve">V. II. </w:t>
      </w:r>
      <w:r w:rsidR="00146748" w:rsidRPr="00146748">
        <w:rPr>
          <w:b/>
        </w:rPr>
        <w:t>Jurisprudência</w:t>
      </w:r>
    </w:p>
    <w:p w14:paraId="1C1E5AC4" w14:textId="570F5C2D" w:rsidR="00CC17AA" w:rsidRPr="00CC17AA" w:rsidRDefault="00CC17AA" w:rsidP="00CC17AA">
      <w:pPr>
        <w:ind w:firstLine="0"/>
        <w:rPr>
          <w:b/>
        </w:rPr>
      </w:pPr>
      <w:r w:rsidRPr="00CC17AA">
        <w:rPr>
          <w:b/>
        </w:rPr>
        <w:t>TJPR. 16ª Câmara Cível. Relatora: Desembargadora Substituta Vania Maria da Silva Kramer. 0113746-48.2025.8.16.0000. Arapongas. Data de julgamento: 16-3-2026</w:t>
      </w:r>
      <w:r>
        <w:rPr>
          <w:b/>
        </w:rPr>
        <w:t>;</w:t>
      </w:r>
    </w:p>
    <w:p w14:paraId="4BD6C67A" w14:textId="035020F7" w:rsidR="00CC17AA" w:rsidRDefault="00CC17AA" w:rsidP="00CC17AA">
      <w:pPr>
        <w:ind w:firstLine="0"/>
        <w:rPr>
          <w:b/>
        </w:rPr>
      </w:pPr>
      <w:r w:rsidRPr="00CC17AA">
        <w:rPr>
          <w:b/>
        </w:rPr>
        <w:t>STF. Tribunal Pleno. Relator: Ministro Edson Fachin. RvC 5475 AM. 0081195-88.2018.1.00.0000. Data de Julgamento: 6-11-2019. Data de Publicação: 15-4-2020</w:t>
      </w:r>
      <w:r>
        <w:rPr>
          <w:b/>
        </w:rPr>
        <w:t>.</w:t>
      </w:r>
    </w:p>
    <w:p w14:paraId="3606520F" w14:textId="77777777" w:rsidR="00CE2513" w:rsidRDefault="00AA28DF" w:rsidP="00CE2513">
      <w:pPr>
        <w:pStyle w:val="PargrafodaLista"/>
        <w:ind w:left="0"/>
        <w:contextualSpacing w:val="0"/>
        <w:rPr>
          <w:b/>
        </w:rPr>
      </w:pPr>
      <w:r>
        <w:rPr>
          <w:b/>
        </w:rPr>
        <w:t>I – RELATÓRIO</w:t>
      </w:r>
    </w:p>
    <w:p w14:paraId="561DE96D" w14:textId="14346204" w:rsidR="00566EE9" w:rsidRDefault="00CE2513" w:rsidP="00566EE9">
      <w:pPr>
        <w:pStyle w:val="PargrafodaLista"/>
        <w:ind w:left="0"/>
        <w:contextualSpacing w:val="0"/>
      </w:pPr>
      <w:r>
        <w:t>Cuida-se</w:t>
      </w:r>
      <w:r w:rsidR="003B076E" w:rsidRPr="003B076E">
        <w:t xml:space="preserve"> de revisão criminal ajuizada por Hudson Rodrigo Dalto</w:t>
      </w:r>
      <w:r>
        <w:t xml:space="preserve">, tendo como objeto </w:t>
      </w:r>
      <w:r w:rsidR="00BB51F2">
        <w:t xml:space="preserve">sentença proferida pelo juízo da Vara Criminal de Cianorte, confirmada </w:t>
      </w:r>
      <w:r w:rsidR="00BC3E6B">
        <w:t>pela 5ª Câmara Criminal do Tribunal de Justiça do Estado do Paraná, que o condenou pela prática dos crime</w:t>
      </w:r>
      <w:r w:rsidR="0007257A">
        <w:t>s</w:t>
      </w:r>
      <w:r w:rsidR="00BC3E6B">
        <w:t xml:space="preserve"> previstos no</w:t>
      </w:r>
      <w:r w:rsidR="00566EE9">
        <w:t xml:space="preserve"> artigo 33 e artigo 35, com incidência da majorante do artigo 40, inciso III, todos da Lei n.º 11.343 de 2006, às penas de 13 (treze) anos, 4 (quatro) meses e 15 (quinze) dias de reclusão, em regime inicial fechado, e 2.102 (dois mil, cento e dois) dias-multa.</w:t>
      </w:r>
    </w:p>
    <w:p w14:paraId="0691C739" w14:textId="6304A158" w:rsidR="00E93F00" w:rsidRDefault="00BB0A8D" w:rsidP="00E93F00">
      <w:pPr>
        <w:pStyle w:val="PargrafodaLista"/>
        <w:ind w:left="0"/>
        <w:contextualSpacing w:val="0"/>
      </w:pPr>
      <w:r>
        <w:t xml:space="preserve">Sustenta o requerente </w:t>
      </w:r>
      <w:r w:rsidR="003B076E" w:rsidRPr="003B076E">
        <w:t xml:space="preserve">o cabimento da ação autônoma fulcrada no artigo 621, inciso I, do Código de Processo Penal. </w:t>
      </w:r>
      <w:r w:rsidR="00297D6F">
        <w:t>No mérito, argumenta</w:t>
      </w:r>
      <w:r w:rsidR="00B9301C">
        <w:t xml:space="preserve"> a: a)</w:t>
      </w:r>
      <w:r w:rsidR="00297D6F">
        <w:t xml:space="preserve"> inadequação da exasperação da pena-base </w:t>
      </w:r>
      <w:r w:rsidR="00DA16BF">
        <w:t>à razão da quantidade de entorpecente, invocando violação ao princípio da proporcionalidade</w:t>
      </w:r>
      <w:r w:rsidR="00B9301C">
        <w:t>; b)</w:t>
      </w:r>
      <w:r w:rsidR="00DA16BF">
        <w:t xml:space="preserve"> </w:t>
      </w:r>
      <w:r w:rsidR="00FB709C">
        <w:t xml:space="preserve">inaplicabilidade da causa de aumento </w:t>
      </w:r>
      <w:r w:rsidR="00563929">
        <w:t>empregada</w:t>
      </w:r>
      <w:r w:rsidR="00E4596F">
        <w:t xml:space="preserve">, </w:t>
      </w:r>
      <w:r w:rsidR="0007257A">
        <w:t xml:space="preserve">uma </w:t>
      </w:r>
      <w:r w:rsidR="00770F2B">
        <w:t>vez que, embora estivesse recolhido em estabelecimento prisional, a droga não foi apreendida no seu interior ou imediações</w:t>
      </w:r>
      <w:r w:rsidR="00E93F00">
        <w:t xml:space="preserve"> (evento 1.1).</w:t>
      </w:r>
    </w:p>
    <w:p w14:paraId="53753432" w14:textId="77777777" w:rsidR="008666C7" w:rsidRDefault="003B076E" w:rsidP="008666C7">
      <w:pPr>
        <w:pStyle w:val="PargrafodaLista"/>
        <w:ind w:left="0"/>
        <w:contextualSpacing w:val="0"/>
      </w:pPr>
      <w:r w:rsidRPr="003B076E">
        <w:t>A Procuradoria-Geral de Justiça exarou parecer manifestando-se pelo não conhecimento da ação revisional, sob o fundamento de que a via eleita não serve ao mero reexame de provas já analisadas nas instâncias ordinárias e que a elevação da pena encontrou lastro em fundamentação concreta</w:t>
      </w:r>
      <w:r w:rsidR="008666C7">
        <w:t xml:space="preserve"> (evento 29.1).</w:t>
      </w:r>
    </w:p>
    <w:p w14:paraId="5A480162" w14:textId="51195240" w:rsidR="00AA28DF" w:rsidRDefault="00AA28DF" w:rsidP="008666C7">
      <w:pPr>
        <w:pStyle w:val="PargrafodaLista"/>
        <w:ind w:left="0"/>
        <w:contextualSpacing w:val="0"/>
      </w:pPr>
      <w:r>
        <w:t>É o necessário relato.</w:t>
      </w:r>
    </w:p>
    <w:p w14:paraId="1769E6BE" w14:textId="77777777" w:rsidR="00AA28DF" w:rsidRDefault="00AA28DF" w:rsidP="00877419">
      <w:pPr>
        <w:pStyle w:val="PargrafodaLista"/>
        <w:ind w:left="0"/>
        <w:contextualSpacing w:val="0"/>
      </w:pPr>
    </w:p>
    <w:p w14:paraId="54C5CE34" w14:textId="77777777" w:rsidR="00AA28DF" w:rsidRPr="00AA28DF" w:rsidRDefault="00AA28DF" w:rsidP="00877419">
      <w:pPr>
        <w:pStyle w:val="PargrafodaLista"/>
        <w:ind w:left="0"/>
        <w:contextualSpacing w:val="0"/>
        <w:rPr>
          <w:b/>
        </w:rPr>
      </w:pPr>
      <w:r w:rsidRPr="00AA28DF">
        <w:rPr>
          <w:b/>
        </w:rPr>
        <w:t>II – VOTO E SUA FUNDAMENTAÇÃO</w:t>
      </w:r>
    </w:p>
    <w:p w14:paraId="43849029" w14:textId="77777777" w:rsidR="00AA28DF" w:rsidRDefault="00AA28DF" w:rsidP="00877419">
      <w:pPr>
        <w:pStyle w:val="PargrafodaLista"/>
        <w:ind w:left="0"/>
        <w:contextualSpacing w:val="0"/>
      </w:pPr>
      <w:r>
        <w:t>II.I – DO JUÍZO DE ADMISSIBILIDADE</w:t>
      </w:r>
    </w:p>
    <w:p w14:paraId="5DDF160C" w14:textId="53DA18BD" w:rsidR="00CA499B" w:rsidRDefault="00CA499B" w:rsidP="00CA499B">
      <w:pPr>
        <w:pStyle w:val="PargrafodaLista"/>
        <w:ind w:left="0"/>
        <w:contextualSpacing w:val="0"/>
      </w:pPr>
      <w:r>
        <w:t>Embora a Procuradoria-Geral de Justiça tenha opinado pelo não conhecimento da ação autônoma de impugnação, constata-se que a parte requerente ampara o seu pedido nas hipóteses taxativas do artigo 621, inciso I, do Código de Processo Penal.</w:t>
      </w:r>
    </w:p>
    <w:p w14:paraId="525DA3AC" w14:textId="77777777" w:rsidR="00CA499B" w:rsidRDefault="00CA499B" w:rsidP="00CA499B">
      <w:pPr>
        <w:pStyle w:val="PargrafodaLista"/>
        <w:ind w:left="0"/>
        <w:contextualSpacing w:val="0"/>
      </w:pPr>
      <w:r>
        <w:t>A defesa sustenta, ao menos em tese, a incompatibilidade entre a conclusão decisória que transitou em julgado e a prova produzida nos autos, argumentando haver erro judiciário na valoração do reconhecimento fotográfico, na aferição do dolo e nas etapas da dosimetria da pena.</w:t>
      </w:r>
    </w:p>
    <w:p w14:paraId="6D5CEB1A" w14:textId="77777777" w:rsidR="00CA499B" w:rsidRDefault="00CA499B" w:rsidP="00CA499B">
      <w:pPr>
        <w:pStyle w:val="PargrafodaLista"/>
        <w:ind w:left="0"/>
        <w:contextualSpacing w:val="0"/>
      </w:pPr>
      <w:r>
        <w:t>À luz da teoria da asserção, a verificação das condições da ação deve ser realizada à vista das afirmações deduzidas na petição inicial. Sendo assim, a alegação de que a sentença se encontra dissociada do acervo probatório satisfaz o interesse processual e autoriza o conhecimento da demanda, relegando-se a constatação da efetiva ocorrência, ou não, do alegado erro judiciário para a análise de mérito.</w:t>
      </w:r>
    </w:p>
    <w:p w14:paraId="20B43AAF" w14:textId="77777777" w:rsidR="00CA499B" w:rsidRDefault="00CA499B" w:rsidP="00CA499B">
      <w:pPr>
        <w:pStyle w:val="PargrafodaLista"/>
        <w:ind w:left="0"/>
        <w:contextualSpacing w:val="0"/>
      </w:pPr>
      <w:r>
        <w:t>Sobre o tema:</w:t>
      </w:r>
    </w:p>
    <w:p w14:paraId="3D3C1754" w14:textId="77777777" w:rsidR="00CA499B" w:rsidRDefault="00CA499B" w:rsidP="00CA499B">
      <w:pPr>
        <w:pStyle w:val="PargrafodaLista"/>
        <w:ind w:left="0"/>
        <w:contextualSpacing w:val="0"/>
      </w:pPr>
    </w:p>
    <w:p w14:paraId="4557BD7E" w14:textId="77777777" w:rsidR="00CA499B" w:rsidRDefault="00CA499B" w:rsidP="00CA499B">
      <w:pPr>
        <w:pStyle w:val="PargrafodaLista"/>
        <w:ind w:left="2268" w:firstLine="0"/>
        <w:contextualSpacing w:val="0"/>
        <w:rPr>
          <w:sz w:val="20"/>
          <w:szCs w:val="18"/>
        </w:rPr>
      </w:pPr>
      <w:r>
        <w:rPr>
          <w:sz w:val="20"/>
          <w:szCs w:val="18"/>
        </w:rPr>
        <w:t>D</w:t>
      </w:r>
      <w:r w:rsidRPr="00D866CC">
        <w:rPr>
          <w:sz w:val="20"/>
          <w:szCs w:val="18"/>
        </w:rPr>
        <w:t>ireito civil e do consumidor. agravo de instrumento. ação declaratória de inexistência de débito c/c repetição e danos morais. ilegitimidade passiva. teoria da asserção. necessidade de instrução probatória. recurso provido. I. Caso em exame</w:t>
      </w:r>
      <w:r>
        <w:rPr>
          <w:sz w:val="20"/>
          <w:szCs w:val="18"/>
        </w:rPr>
        <w:t xml:space="preserve"> </w:t>
      </w:r>
      <w:r w:rsidRPr="00D866CC">
        <w:rPr>
          <w:sz w:val="20"/>
          <w:szCs w:val="18"/>
        </w:rPr>
        <w:t>1. Agravo de instrumento interposto contra decisão que extinguiu a ação em relação às instituições financeiras Facta Financeira S.A. Financiamento e Investimento e Banco Inbursa S.A., sob o fundamento de ilegitimidade passiva.</w:t>
      </w:r>
      <w:r>
        <w:rPr>
          <w:sz w:val="20"/>
          <w:szCs w:val="18"/>
        </w:rPr>
        <w:t xml:space="preserve"> </w:t>
      </w:r>
      <w:r w:rsidRPr="00D866CC">
        <w:rPr>
          <w:sz w:val="20"/>
          <w:szCs w:val="18"/>
        </w:rPr>
        <w:t>II. Questão em discussão</w:t>
      </w:r>
      <w:r>
        <w:rPr>
          <w:sz w:val="20"/>
          <w:szCs w:val="18"/>
        </w:rPr>
        <w:t xml:space="preserve"> </w:t>
      </w:r>
      <w:r w:rsidRPr="00D866CC">
        <w:rPr>
          <w:sz w:val="20"/>
          <w:szCs w:val="18"/>
        </w:rPr>
        <w:t>2. A questão em discussão consiste em saber se, à luz das alegações formuladas na petição inicial, as instituições financeiras agravadas possuem legitimidade passiva ad causam, aferida segundo a teoria da asserção.</w:t>
      </w:r>
      <w:r>
        <w:rPr>
          <w:sz w:val="20"/>
          <w:szCs w:val="18"/>
        </w:rPr>
        <w:t xml:space="preserve"> </w:t>
      </w:r>
      <w:r w:rsidRPr="00D866CC">
        <w:rPr>
          <w:sz w:val="20"/>
          <w:szCs w:val="18"/>
        </w:rPr>
        <w:t>III. Razões de decidir</w:t>
      </w:r>
      <w:r>
        <w:rPr>
          <w:sz w:val="20"/>
          <w:szCs w:val="18"/>
        </w:rPr>
        <w:t xml:space="preserve"> </w:t>
      </w:r>
      <w:r w:rsidRPr="00D866CC">
        <w:rPr>
          <w:sz w:val="20"/>
          <w:szCs w:val="18"/>
        </w:rPr>
        <w:t xml:space="preserve">3. </w:t>
      </w:r>
      <w:r w:rsidRPr="00D866CC">
        <w:rPr>
          <w:b/>
          <w:bCs/>
          <w:sz w:val="20"/>
          <w:szCs w:val="18"/>
        </w:rPr>
        <w:t>As condições da ação, inclusive a legitimidade passiva ad causam, devem ser aferidas com base nas alegações deduzidas na petição inicial, conforme a teoria da asserção, bastando que, em exame abstrato, seja possível inferir a potencial responsabilidade do demandado pelos fatos narrados.</w:t>
      </w:r>
      <w:r>
        <w:rPr>
          <w:b/>
          <w:bCs/>
          <w:sz w:val="20"/>
          <w:szCs w:val="18"/>
        </w:rPr>
        <w:t xml:space="preserve"> </w:t>
      </w:r>
      <w:r w:rsidRPr="00D866CC">
        <w:rPr>
          <w:sz w:val="20"/>
          <w:szCs w:val="18"/>
        </w:rPr>
        <w:t>4. O Superior Tribunal de Justiça firmou entendimento no sentido de que a legitimidade passiva se verifica a partir das afirmações da inicial, sendo a efetiva responsabilidade matéria de mérito a ser examinada após a instrução processual.</w:t>
      </w:r>
      <w:r>
        <w:rPr>
          <w:sz w:val="20"/>
          <w:szCs w:val="18"/>
        </w:rPr>
        <w:t xml:space="preserve"> </w:t>
      </w:r>
      <w:r w:rsidRPr="00D866CC">
        <w:rPr>
          <w:sz w:val="20"/>
          <w:szCs w:val="18"/>
        </w:rPr>
        <w:t>5. No caso concreto, a narrativa inicial atribui às instituições financeiras suposta falha na prestação de serviços, consubstanciada na viabilização de operações financeiras alegadamente fraudulentas, sem anuência da consumidora, o que, em tese, é suficiente para caracterizar a pertinência subjetiva.</w:t>
      </w:r>
      <w:r>
        <w:rPr>
          <w:sz w:val="20"/>
          <w:szCs w:val="18"/>
        </w:rPr>
        <w:t xml:space="preserve"> </w:t>
      </w:r>
      <w:r w:rsidRPr="00D866CC">
        <w:rPr>
          <w:sz w:val="20"/>
          <w:szCs w:val="18"/>
        </w:rPr>
        <w:t>6. Em relação a uma das instituições, há alegação de depósito identificado em conta bancária da autora, cuja origem e finalidade são desconhecidas, ocorrido em contexto de contratações fraudulentas.</w:t>
      </w:r>
      <w:r>
        <w:rPr>
          <w:sz w:val="20"/>
          <w:szCs w:val="18"/>
        </w:rPr>
        <w:t xml:space="preserve"> </w:t>
      </w:r>
      <w:r w:rsidRPr="00D866CC">
        <w:rPr>
          <w:sz w:val="20"/>
          <w:szCs w:val="18"/>
        </w:rPr>
        <w:t>7. Quanto à outra, aponta-se a existência de empréstimo consignado vinculado à instituição, com extrato acostado à inicial.</w:t>
      </w:r>
      <w:r>
        <w:rPr>
          <w:sz w:val="20"/>
          <w:szCs w:val="18"/>
        </w:rPr>
        <w:t xml:space="preserve"> </w:t>
      </w:r>
      <w:r w:rsidRPr="00D866CC">
        <w:rPr>
          <w:sz w:val="20"/>
          <w:szCs w:val="18"/>
        </w:rPr>
        <w:t>8. A exclusão prematura das rés, antes da instrução, impede a apuração da dinâmica dos fatos, da eventual participação das instituições financeiras e da existência ou não de fortuito interno decorrente de falhas nos mecanismos de segurança.</w:t>
      </w:r>
      <w:r>
        <w:rPr>
          <w:sz w:val="20"/>
          <w:szCs w:val="18"/>
        </w:rPr>
        <w:t xml:space="preserve"> </w:t>
      </w:r>
      <w:r w:rsidRPr="00D866CC">
        <w:rPr>
          <w:sz w:val="20"/>
          <w:szCs w:val="18"/>
        </w:rPr>
        <w:t>IV. Dispositivo</w:t>
      </w:r>
      <w:r>
        <w:rPr>
          <w:sz w:val="20"/>
          <w:szCs w:val="18"/>
        </w:rPr>
        <w:t xml:space="preserve"> </w:t>
      </w:r>
      <w:r w:rsidRPr="00D866CC">
        <w:rPr>
          <w:sz w:val="20"/>
          <w:szCs w:val="18"/>
        </w:rPr>
        <w:t>9. Recurso conhecido e provido para reformar a decisão agravada, reintegrando as instituições financeiras ao polo passivo da ação originária.</w:t>
      </w:r>
      <w:r>
        <w:rPr>
          <w:sz w:val="20"/>
          <w:szCs w:val="18"/>
        </w:rPr>
        <w:t xml:space="preserve"> </w:t>
      </w:r>
      <w:r w:rsidRPr="00D866CC">
        <w:rPr>
          <w:sz w:val="20"/>
          <w:szCs w:val="18"/>
        </w:rPr>
        <w:t>(TJPR</w:t>
      </w:r>
      <w:r>
        <w:rPr>
          <w:sz w:val="20"/>
          <w:szCs w:val="18"/>
        </w:rPr>
        <w:t xml:space="preserve">. </w:t>
      </w:r>
      <w:r w:rsidRPr="00D866CC">
        <w:rPr>
          <w:sz w:val="20"/>
          <w:szCs w:val="18"/>
        </w:rPr>
        <w:t>16ª Câmara Cível</w:t>
      </w:r>
      <w:r>
        <w:rPr>
          <w:sz w:val="20"/>
          <w:szCs w:val="18"/>
        </w:rPr>
        <w:t>. Relatora: Desembargadora Substituta Vania Maria da Silva Kramer.</w:t>
      </w:r>
      <w:r w:rsidRPr="004B194F">
        <w:rPr>
          <w:sz w:val="20"/>
          <w:szCs w:val="18"/>
        </w:rPr>
        <w:t xml:space="preserve"> 0113746-48.2025.8.16.0000</w:t>
      </w:r>
      <w:r>
        <w:rPr>
          <w:sz w:val="20"/>
          <w:szCs w:val="18"/>
        </w:rPr>
        <w:t>.</w:t>
      </w:r>
      <w:r w:rsidRPr="004B194F">
        <w:rPr>
          <w:sz w:val="20"/>
          <w:szCs w:val="18"/>
        </w:rPr>
        <w:t xml:space="preserve"> Arapongas</w:t>
      </w:r>
      <w:r>
        <w:rPr>
          <w:sz w:val="20"/>
          <w:szCs w:val="18"/>
        </w:rPr>
        <w:t>. Data de julgamento:</w:t>
      </w:r>
      <w:r w:rsidRPr="004B194F">
        <w:rPr>
          <w:sz w:val="20"/>
          <w:szCs w:val="18"/>
        </w:rPr>
        <w:t xml:space="preserve"> 16</w:t>
      </w:r>
      <w:r>
        <w:rPr>
          <w:sz w:val="20"/>
          <w:szCs w:val="18"/>
        </w:rPr>
        <w:t>-</w:t>
      </w:r>
      <w:r w:rsidRPr="004B194F">
        <w:rPr>
          <w:sz w:val="20"/>
          <w:szCs w:val="18"/>
        </w:rPr>
        <w:t>3</w:t>
      </w:r>
      <w:r>
        <w:rPr>
          <w:sz w:val="20"/>
          <w:szCs w:val="18"/>
        </w:rPr>
        <w:t>-</w:t>
      </w:r>
      <w:r w:rsidRPr="004B194F">
        <w:rPr>
          <w:sz w:val="20"/>
          <w:szCs w:val="18"/>
        </w:rPr>
        <w:t>2026</w:t>
      </w:r>
      <w:r>
        <w:rPr>
          <w:sz w:val="20"/>
          <w:szCs w:val="18"/>
        </w:rPr>
        <w:t>).</w:t>
      </w:r>
    </w:p>
    <w:p w14:paraId="520D6BA8" w14:textId="77777777" w:rsidR="00CA499B" w:rsidRPr="004B194F" w:rsidRDefault="00CA499B" w:rsidP="00CA499B">
      <w:pPr>
        <w:pStyle w:val="PargrafodaLista"/>
        <w:ind w:left="2268" w:firstLine="0"/>
        <w:contextualSpacing w:val="0"/>
        <w:rPr>
          <w:sz w:val="20"/>
          <w:szCs w:val="18"/>
        </w:rPr>
      </w:pPr>
    </w:p>
    <w:p w14:paraId="67E7E08C" w14:textId="77777777" w:rsidR="00CA499B" w:rsidRDefault="00CA499B" w:rsidP="00CA499B">
      <w:pPr>
        <w:pStyle w:val="PargrafodaLista"/>
        <w:ind w:left="0"/>
        <w:contextualSpacing w:val="0"/>
      </w:pPr>
      <w:r>
        <w:t>Satisfeitos, pois, os pressupostos processuais, conhece-se da revisão criminal.</w:t>
      </w:r>
    </w:p>
    <w:p w14:paraId="4C8AA5DE" w14:textId="77777777" w:rsidR="00B14F02" w:rsidRDefault="00B14F02" w:rsidP="00877419">
      <w:pPr>
        <w:pStyle w:val="PargrafodaLista"/>
        <w:ind w:left="0"/>
        <w:contextualSpacing w:val="0"/>
      </w:pPr>
    </w:p>
    <w:p w14:paraId="283C356E" w14:textId="77777777" w:rsidR="005F588A" w:rsidRDefault="005F588A" w:rsidP="005F588A">
      <w:pPr>
        <w:pStyle w:val="PargrafodaLista"/>
        <w:ind w:left="0"/>
        <w:contextualSpacing w:val="0"/>
      </w:pPr>
      <w:r>
        <w:t>II.II – DA COMPOSIÇÃO QUANTITATIVA DA PENA</w:t>
      </w:r>
    </w:p>
    <w:p w14:paraId="6588258A" w14:textId="01F47BB2" w:rsidR="005F588A" w:rsidRDefault="00AE152C" w:rsidP="00AE152C">
      <w:pPr>
        <w:pStyle w:val="PargrafodaLista"/>
        <w:ind w:left="0"/>
        <w:contextualSpacing w:val="0"/>
      </w:pPr>
      <w:r>
        <w:t>Cinge-se a controvérsia,</w:t>
      </w:r>
      <w:r w:rsidR="00B14F02" w:rsidRPr="00B14F02">
        <w:t xml:space="preserve"> essencialmente</w:t>
      </w:r>
      <w:r>
        <w:t>,</w:t>
      </w:r>
      <w:r w:rsidR="00B14F02" w:rsidRPr="00B14F02">
        <w:t xml:space="preserve"> à desconstituição do cômputo dosimétrico. Almeja</w:t>
      </w:r>
      <w:r w:rsidR="000F2EC4">
        <w:t xml:space="preserve"> o requerente</w:t>
      </w:r>
      <w:r w:rsidR="00B14F02" w:rsidRPr="00B14F02">
        <w:t xml:space="preserve"> a reavaliação da pena imposta, pugnando-se pelo afastamento </w:t>
      </w:r>
      <w:r w:rsidR="006B0357">
        <w:t xml:space="preserve">da exasperação da pena-base, à razão da quantidade do entorpecente, bem como da majorante atinente </w:t>
      </w:r>
      <w:r>
        <w:t xml:space="preserve">ao </w:t>
      </w:r>
      <w:r w:rsidR="00B14F02" w:rsidRPr="00B14F02">
        <w:t>cometimento do crime no interior de estabelecimento prisional</w:t>
      </w:r>
      <w:r>
        <w:t>.</w:t>
      </w:r>
    </w:p>
    <w:p w14:paraId="5C38C37B" w14:textId="77777777" w:rsidR="003917F7" w:rsidRDefault="00B14F02" w:rsidP="005F588A">
      <w:pPr>
        <w:pStyle w:val="PargrafodaLista"/>
        <w:ind w:left="0"/>
        <w:contextualSpacing w:val="0"/>
      </w:pPr>
      <w:r w:rsidRPr="00B14F02">
        <w:t xml:space="preserve">A pretensão, contudo, carece de </w:t>
      </w:r>
      <w:r w:rsidR="00AE152C">
        <w:t>plausibilidade jurídica para prosperar nesta via processual.</w:t>
      </w:r>
      <w:r w:rsidR="0055521F">
        <w:t xml:space="preserve"> </w:t>
      </w:r>
      <w:r w:rsidRPr="00B14F02">
        <w:t xml:space="preserve">A jurisprudência pátria consolidou o entendimento diretivo de que a revisão criminal consubstancia providência de natureza excepcional, não se prestando à função de mero sucedâneo recursal. É vedada a sua utilização como meio de submeter a causa a uma terceira </w:t>
      </w:r>
      <w:r w:rsidR="00516879">
        <w:t>oportunidade</w:t>
      </w:r>
      <w:r w:rsidRPr="00B14F02">
        <w:t xml:space="preserve"> de valoração probatória </w:t>
      </w:r>
      <w:r w:rsidR="00516879">
        <w:t xml:space="preserve">nas instâncias originárias </w:t>
      </w:r>
      <w:r w:rsidRPr="00B14F02">
        <w:t>unicamente por irresignação da pa</w:t>
      </w:r>
      <w:r w:rsidR="003917F7">
        <w:t>rte com o resultado do julgamento.</w:t>
      </w:r>
    </w:p>
    <w:p w14:paraId="156F366D" w14:textId="3CAA18A3" w:rsidR="00702EF7" w:rsidRDefault="00702EF7" w:rsidP="00702EF7">
      <w:pPr>
        <w:pStyle w:val="PargrafodaLista"/>
        <w:ind w:left="0"/>
        <w:contextualSpacing w:val="0"/>
      </w:pPr>
      <w:r>
        <w:t>A esse respeito:</w:t>
      </w:r>
    </w:p>
    <w:p w14:paraId="0C7C1E54" w14:textId="77777777" w:rsidR="00702EF7" w:rsidRDefault="00702EF7" w:rsidP="00702EF7">
      <w:pPr>
        <w:pStyle w:val="PargrafodaLista"/>
        <w:ind w:left="0"/>
        <w:contextualSpacing w:val="0"/>
      </w:pPr>
    </w:p>
    <w:p w14:paraId="62D2BC25" w14:textId="77777777" w:rsidR="00702EF7" w:rsidRPr="00685AB4" w:rsidRDefault="00702EF7" w:rsidP="00702EF7">
      <w:pPr>
        <w:pStyle w:val="PargrafodaLista"/>
        <w:ind w:left="2268" w:firstLine="0"/>
        <w:contextualSpacing w:val="0"/>
        <w:rPr>
          <w:sz w:val="20"/>
          <w:szCs w:val="18"/>
        </w:rPr>
      </w:pPr>
      <w:r w:rsidRPr="00685AB4">
        <w:rPr>
          <w:sz w:val="20"/>
          <w:szCs w:val="18"/>
        </w:rPr>
        <w:t xml:space="preserve">REVISÃO CRIMINAL. MATÉRIA PENAL. HIPÓTESES DE CABIMENTO TAXATIVAS. PRETENSÃO DE REAVALIAÇÃO DE ASPECTOS DISCRICIONÁRIOS DA DOSIMETRIA DA PENA. EVENTUAL CONTROVÉRSIA RAZOÁVEL ACERCA DA VALORAÇÃO DE PROVAS E/OU DO DIREITO. INADEQUAÇÃO DA MEDIDA. REVISÃO CRIMINAL NÃO CONHECIDA. 1. Preliminarmente, o Tribunal Pleno, por maioria, rejeitou questão de ordem suscitada no que toca à eventual incompatibilidade, no caso concreto, de que o Relator do acórdão impugnado, proferido na Ação Penal 935/AM, funcione, nestes autos, como Revisor. 2. A revisão criminal, instrumento processual posto à disposição do condenado, tem como finalidade precípua conciliar, de um lado, a exigência de juridicidade da prestação jurisdicional e, de outro, a necessária segurança jurídica decorrente dos pronunciamentos emanados do Estado-Juiz, mediante observância de hipóteses de cabimento taxativamente previstas no ordenamento jurídico e que traduzam situações efetivamente graves que, em tese, possam autorizar a excepcional desconstituição da coisa julgada material. </w:t>
      </w:r>
      <w:r w:rsidRPr="00685AB4">
        <w:rPr>
          <w:b/>
          <w:bCs/>
          <w:sz w:val="20"/>
          <w:szCs w:val="18"/>
        </w:rPr>
        <w:t>3. Assim, a revisão criminal, que não tem feitio recursal, não se presta a, fora de sua destinação normativa, submeter a matéria subjacente ao crivo do Tribunal Pleno por razões derivadas exclusivamente do inconformismo defensivo ou de razões afetas ao suposto desacerto da razoável valoração da prova e/ou do direito.</w:t>
      </w:r>
      <w:r w:rsidRPr="00685AB4">
        <w:rPr>
          <w:sz w:val="20"/>
          <w:szCs w:val="18"/>
        </w:rPr>
        <w:t xml:space="preserve"> 4. No caso específico de ações penais originárias de competência de órgão fracionário desta Suprema Corte, a medida revisional também não funciona como ferramenta processual apta a inaugurar a jurisdição do colegiado maior como forma de contornar o não preenchimento dos requisitos impostos pela jurisprudência do STF ao cabimento dos embargos infringentes. 5. Segundo a firme jurisprudência desta Suprema Corte, a dosimetria da pena não se subordina à observância de rígidos esquemas ou regras aritméticas, assegurando-se ao competente órgão julgador certa discricionariedade no dimensionamento da resposta penal. Também inexiste correspondência necessária entre a expressividade numérica de circunstâncias judiciais desfavoráveis e o consequente incremento da pena-base. 6. Não configura ilegalidade o ato jurisdicional que condiciona a configuração de arrependimento posterior, previsto no art. 16 do Código Penal, à concomitante demonstração da voluntariedade e pessoalidade da reparação do dano. 7. O título condenatório que acolhe interpretação possível e razoável em prejuízo do acusado não consubstancia vulneração a texto expresso de lei, sendo que a solução de controvérsias ponderadas acerca da interpretação de normas jurídicas não se insere no escopo taxativo de abertura da via revisional. 8. Hipótese concreta em que a dosimetria da pena, embora contrarie os interesses do postulante, não desvela mácula sob a perspectiva da legalidade, cingindo-se a irresignação defensiva ao campo do acerto ou desacerto na fixação da censura penal, espacialidade que conta com discricionariedade judicial insuscetível de reexame em sede de revisão criminal. 9. Revisão criminal não conhecida. (STF. Tribunal Pleno. Relator: Ministro Edson Fachin. RvC 5475 AM. 0081195-88.2018.1.00.0000. Data de Julgamento: 6-11-2019. Data de Publicação: 15-4-2020).</w:t>
      </w:r>
    </w:p>
    <w:p w14:paraId="68199DFA" w14:textId="77777777" w:rsidR="00702EF7" w:rsidRDefault="00702EF7" w:rsidP="00702EF7">
      <w:pPr>
        <w:ind w:firstLine="0"/>
      </w:pPr>
    </w:p>
    <w:p w14:paraId="699445A6" w14:textId="448EBBBC" w:rsidR="005F588A" w:rsidRDefault="00B14F02" w:rsidP="005F588A">
      <w:pPr>
        <w:pStyle w:val="PargrafodaLista"/>
        <w:ind w:left="0"/>
        <w:contextualSpacing w:val="0"/>
      </w:pPr>
      <w:r w:rsidRPr="00B14F02">
        <w:t>A aferição da suposta contrariedade à evidência dos autos</w:t>
      </w:r>
      <w:r w:rsidR="00702EF7">
        <w:t xml:space="preserve"> ou ao texto da lei</w:t>
      </w:r>
      <w:r w:rsidRPr="00B14F02">
        <w:t xml:space="preserve"> pressupõe que a sentença não encontre abrigo em qualquer elemento de prova inserto no caderno processual</w:t>
      </w:r>
      <w:r w:rsidR="00702EF7">
        <w:t xml:space="preserve"> ou </w:t>
      </w:r>
      <w:r w:rsidR="000350E8">
        <w:t>destoe, de maneira evidente, d</w:t>
      </w:r>
      <w:r w:rsidR="00080CA3">
        <w:t>e expressa previsão legal</w:t>
      </w:r>
      <w:r w:rsidRPr="00B14F02">
        <w:t>. Da detida análise dos autos de origem, infere-se que o édito condenatório e as balizas sancionatórias repousaram em substancial acervo indiciário e probatório devidamente contraditado</w:t>
      </w:r>
      <w:r w:rsidR="00080CA3">
        <w:t xml:space="preserve"> e razoável fundamentação lógico-jurídica.</w:t>
      </w:r>
    </w:p>
    <w:p w14:paraId="49506DA3" w14:textId="1C5663C4" w:rsidR="00080CA3" w:rsidRDefault="00D61848" w:rsidP="005F588A">
      <w:pPr>
        <w:pStyle w:val="PargrafodaLista"/>
        <w:ind w:left="0"/>
        <w:contextualSpacing w:val="0"/>
      </w:pPr>
      <w:r>
        <w:t>No caso,</w:t>
      </w:r>
      <w:r w:rsidR="00080CA3">
        <w:t xml:space="preserve"> a quantidade de entorpecente </w:t>
      </w:r>
      <w:r w:rsidR="00B87D5B">
        <w:t xml:space="preserve">apreendida, </w:t>
      </w:r>
      <w:r w:rsidR="00BA7E8A">
        <w:t>39 (trinta e nove) gramas de cocaína e pouco mais de 2 (dois) quilogramas de maconha</w:t>
      </w:r>
      <w:r w:rsidR="00720F7F">
        <w:t>, é significativamente elevada e representa elevado potencial ofensivo à saúde pública, bem jurídico protegido pela norma penal</w:t>
      </w:r>
      <w:r w:rsidR="00F241A1">
        <w:t xml:space="preserve">. </w:t>
      </w:r>
      <w:r>
        <w:t>Com efeito, o</w:t>
      </w:r>
      <w:r w:rsidR="00F241A1">
        <w:t xml:space="preserve"> fracionamento viabilizaria </w:t>
      </w:r>
      <w:r>
        <w:t>centenas de porções individuais</w:t>
      </w:r>
      <w:r w:rsidR="007A689E">
        <w:t>.</w:t>
      </w:r>
      <w:r w:rsidR="00804ED2">
        <w:t xml:space="preserve"> Resulta, pois, razoavelmente fundamenta</w:t>
      </w:r>
      <w:r w:rsidR="0007257A">
        <w:t>da</w:t>
      </w:r>
      <w:r w:rsidR="00804ED2">
        <w:t xml:space="preserve"> a respectiva exasperação.</w:t>
      </w:r>
    </w:p>
    <w:p w14:paraId="7834DBB3" w14:textId="554D78C3" w:rsidR="007A689E" w:rsidRDefault="00804ED2" w:rsidP="00C3622E">
      <w:pPr>
        <w:pStyle w:val="PargrafodaLista"/>
        <w:ind w:left="0"/>
        <w:contextualSpacing w:val="0"/>
      </w:pPr>
      <w:r>
        <w:t xml:space="preserve">Ademais, </w:t>
      </w:r>
      <w:r w:rsidR="004E3E2C">
        <w:t>quanto à causa de aumento</w:t>
      </w:r>
      <w:r w:rsidR="003E55F5">
        <w:t xml:space="preserve">, </w:t>
      </w:r>
      <w:r w:rsidR="00EE20D6">
        <w:t xml:space="preserve">foi apurado </w:t>
      </w:r>
      <w:r w:rsidR="007A689E" w:rsidRPr="00B14F02">
        <w:t xml:space="preserve">que o requerente articulava e comandava </w:t>
      </w:r>
      <w:r w:rsidR="00EE20D6">
        <w:t>o comércio ilícito de entorpecentes dentro do estabelecimento prisional</w:t>
      </w:r>
      <w:r w:rsidR="00C3622E">
        <w:t xml:space="preserve">. Há, portanto, perfeita </w:t>
      </w:r>
      <w:r w:rsidR="00C342D1">
        <w:t>atração</w:t>
      </w:r>
      <w:r w:rsidR="00C3622E">
        <w:t xml:space="preserve"> da majorante do artigo 40, inciso III, da Lei n.º 11.343 de 2006</w:t>
      </w:r>
      <w:r w:rsidR="00C342D1">
        <w:t xml:space="preserve">, cuja aplicação não exige a efetiva apreensão do </w:t>
      </w:r>
      <w:r w:rsidR="008C7379">
        <w:t>entorpecente no interior do cárcere.</w:t>
      </w:r>
      <w:r w:rsidR="00C342D1">
        <w:t xml:space="preserve"> </w:t>
      </w:r>
      <w:r w:rsidR="004B77F2">
        <w:t xml:space="preserve">A compreensão gramatical do dispositivo </w:t>
      </w:r>
      <w:r w:rsidR="005C25FF">
        <w:t>não apresenta teratologia ou qualquer vício hermenêutico a caracterizar erro judiciário.</w:t>
      </w:r>
    </w:p>
    <w:p w14:paraId="4C75B822" w14:textId="4ED6EE48" w:rsidR="005F588A" w:rsidRDefault="00B14F02" w:rsidP="005F588A">
      <w:pPr>
        <w:pStyle w:val="PargrafodaLista"/>
        <w:ind w:left="0"/>
        <w:contextualSpacing w:val="0"/>
      </w:pPr>
      <w:r w:rsidRPr="00B14F02">
        <w:t xml:space="preserve">Conclui-se que os fundamentos adotados pelas instâncias de primeiro e segundo graus para a exasperação da pena-base, bem como para a incidência e determinação da fração máxima atinente à causa especial de aumento, decorrem de uma escorreita e razoável interpretação do conjunto fático-probatório. </w:t>
      </w:r>
    </w:p>
    <w:p w14:paraId="416C767B" w14:textId="2B1D7B8E" w:rsidR="005F588A" w:rsidRDefault="00B14F02" w:rsidP="005F588A">
      <w:pPr>
        <w:pStyle w:val="PargrafodaLista"/>
        <w:ind w:left="0"/>
        <w:contextualSpacing w:val="0"/>
      </w:pPr>
      <w:r w:rsidRPr="00B14F02">
        <w:t>Ausente, pois, condenação maculada por flagrante ilegalidade, teratologia ou divórcio absoluto das provas, mantém-se hígida a autoridade da coisa julgada, revelando-se improcedente a ação de impugnação em epígrafe.</w:t>
      </w:r>
    </w:p>
    <w:p w14:paraId="16188CFC" w14:textId="77777777" w:rsidR="005F588A" w:rsidRDefault="005F588A" w:rsidP="005F588A">
      <w:pPr>
        <w:pStyle w:val="PargrafodaLista"/>
        <w:ind w:left="0"/>
        <w:contextualSpacing w:val="0"/>
      </w:pPr>
    </w:p>
    <w:p w14:paraId="65EB67A5" w14:textId="7696FD3E" w:rsidR="005F588A" w:rsidRDefault="005F588A" w:rsidP="005F588A">
      <w:pPr>
        <w:pStyle w:val="PargrafodaLista"/>
        <w:ind w:left="0"/>
        <w:contextualSpacing w:val="0"/>
      </w:pPr>
      <w:r>
        <w:t>II.III – DA CONCLUSÃO</w:t>
      </w:r>
    </w:p>
    <w:p w14:paraId="61D0DB21" w14:textId="77777777" w:rsidR="005F588A" w:rsidRDefault="00B14F02" w:rsidP="005F588A">
      <w:pPr>
        <w:pStyle w:val="PargrafodaLista"/>
        <w:ind w:left="0"/>
        <w:contextualSpacing w:val="0"/>
      </w:pPr>
      <w:r w:rsidRPr="00B14F02">
        <w:t>Pela conjugação das premissas alinhavadas, a solução a ser adotada consiste em conhecer e julgar improcedente a revisão criminal ajuizada por Hudson Rodrigo Dalto.</w:t>
      </w:r>
    </w:p>
    <w:p w14:paraId="604A9D15" w14:textId="16F57687" w:rsidR="005F588A" w:rsidRDefault="00B14F02" w:rsidP="005F588A">
      <w:pPr>
        <w:pStyle w:val="PargrafodaLista"/>
        <w:ind w:left="0"/>
        <w:contextualSpacing w:val="0"/>
      </w:pPr>
      <w:r w:rsidRPr="00B14F02">
        <w:t>É como voto.</w:t>
      </w:r>
    </w:p>
    <w:p w14:paraId="316E59E6" w14:textId="77777777" w:rsidR="00AA28DF" w:rsidRDefault="00AA28DF" w:rsidP="00877419">
      <w:pPr>
        <w:pStyle w:val="PargrafodaLista"/>
        <w:ind w:left="0"/>
        <w:contextualSpacing w:val="0"/>
      </w:pPr>
    </w:p>
    <w:p w14:paraId="717BA75D" w14:textId="4D46F71C" w:rsidR="00AA28DF" w:rsidRPr="00AA28DF" w:rsidRDefault="00877419" w:rsidP="00877419">
      <w:pPr>
        <w:pStyle w:val="PargrafodaLista"/>
        <w:ind w:left="0"/>
        <w:contextualSpacing w:val="0"/>
        <w:rPr>
          <w:b/>
        </w:rPr>
      </w:pPr>
      <w:r>
        <w:rPr>
          <w:b/>
        </w:rPr>
        <w:t xml:space="preserve">III </w:t>
      </w:r>
      <w:r w:rsidR="00372AAB">
        <w:rPr>
          <w:b/>
        </w:rPr>
        <w:t xml:space="preserve">– </w:t>
      </w:r>
      <w:r>
        <w:rPr>
          <w:b/>
        </w:rPr>
        <w:t>DECISÃO</w:t>
      </w:r>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493"/>
    <w:multiLevelType w:val="multilevel"/>
    <w:tmpl w:val="5412A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366955022">
    <w:abstractNumId w:val="1"/>
  </w:num>
  <w:num w:numId="2" w16cid:durableId="2111898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0350E8"/>
    <w:rsid w:val="000537D6"/>
    <w:rsid w:val="000645FD"/>
    <w:rsid w:val="0007257A"/>
    <w:rsid w:val="00080CA3"/>
    <w:rsid w:val="000F2EC4"/>
    <w:rsid w:val="00146748"/>
    <w:rsid w:val="00165C47"/>
    <w:rsid w:val="001C2D4C"/>
    <w:rsid w:val="001C4E8D"/>
    <w:rsid w:val="00297D6F"/>
    <w:rsid w:val="00372AAB"/>
    <w:rsid w:val="003917F7"/>
    <w:rsid w:val="003B076E"/>
    <w:rsid w:val="003E55F5"/>
    <w:rsid w:val="004B77F2"/>
    <w:rsid w:val="004E3E2C"/>
    <w:rsid w:val="00514E34"/>
    <w:rsid w:val="00516879"/>
    <w:rsid w:val="0055521F"/>
    <w:rsid w:val="00563929"/>
    <w:rsid w:val="00566EE9"/>
    <w:rsid w:val="005B4039"/>
    <w:rsid w:val="005C25FF"/>
    <w:rsid w:val="005C2BB2"/>
    <w:rsid w:val="005F588A"/>
    <w:rsid w:val="00672942"/>
    <w:rsid w:val="006A791B"/>
    <w:rsid w:val="006B0357"/>
    <w:rsid w:val="00702EF7"/>
    <w:rsid w:val="00706906"/>
    <w:rsid w:val="00720F7F"/>
    <w:rsid w:val="00770B0F"/>
    <w:rsid w:val="00770F2B"/>
    <w:rsid w:val="00794062"/>
    <w:rsid w:val="007A689E"/>
    <w:rsid w:val="00804ED2"/>
    <w:rsid w:val="008666C7"/>
    <w:rsid w:val="00877419"/>
    <w:rsid w:val="008C7379"/>
    <w:rsid w:val="00973737"/>
    <w:rsid w:val="009D0D3E"/>
    <w:rsid w:val="00AA28DF"/>
    <w:rsid w:val="00AB02E8"/>
    <w:rsid w:val="00AE152C"/>
    <w:rsid w:val="00AE47D1"/>
    <w:rsid w:val="00B14F02"/>
    <w:rsid w:val="00B87D5B"/>
    <w:rsid w:val="00B9301C"/>
    <w:rsid w:val="00BA7E8A"/>
    <w:rsid w:val="00BB0A8D"/>
    <w:rsid w:val="00BB51F2"/>
    <w:rsid w:val="00BC3E6B"/>
    <w:rsid w:val="00BC64BE"/>
    <w:rsid w:val="00C175E9"/>
    <w:rsid w:val="00C342D1"/>
    <w:rsid w:val="00C3622E"/>
    <w:rsid w:val="00CA499B"/>
    <w:rsid w:val="00CC17AA"/>
    <w:rsid w:val="00CE2513"/>
    <w:rsid w:val="00D37894"/>
    <w:rsid w:val="00D61848"/>
    <w:rsid w:val="00D6767C"/>
    <w:rsid w:val="00DA16BF"/>
    <w:rsid w:val="00DB37F8"/>
    <w:rsid w:val="00DC37B4"/>
    <w:rsid w:val="00E17DFC"/>
    <w:rsid w:val="00E4596F"/>
    <w:rsid w:val="00E82174"/>
    <w:rsid w:val="00E916D6"/>
    <w:rsid w:val="00E93F00"/>
    <w:rsid w:val="00EA3C6B"/>
    <w:rsid w:val="00EE20D6"/>
    <w:rsid w:val="00F0399D"/>
    <w:rsid w:val="00F241A1"/>
    <w:rsid w:val="00FB709C"/>
    <w:rsid w:val="00FE0C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5615"/>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365896">
      <w:bodyDiv w:val="1"/>
      <w:marLeft w:val="0"/>
      <w:marRight w:val="0"/>
      <w:marTop w:val="0"/>
      <w:marBottom w:val="0"/>
      <w:divBdr>
        <w:top w:val="none" w:sz="0" w:space="0" w:color="auto"/>
        <w:left w:val="none" w:sz="0" w:space="0" w:color="auto"/>
        <w:bottom w:val="none" w:sz="0" w:space="0" w:color="auto"/>
        <w:right w:val="none" w:sz="0" w:space="0" w:color="auto"/>
      </w:divBdr>
    </w:div>
    <w:div w:id="143767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1" ma:contentTypeDescription="Crie um novo documento." ma:contentTypeScope="" ma:versionID="f9b77c0a9ca16248db2a354a9324d574">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f83b46afa82d5de6e7294c7773150add"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511FE1A-DF0B-4563-82F9-A54BBF30FC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bd5eb-5da3-4c78-b159-2bc8443a6345"/>
    <ds:schemaRef ds:uri="0b1c8c71-5c14-46ef-9c85-f6af5a95de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75B026-B2AE-42DC-8951-55F2071FA656}">
  <ds:schemaRefs>
    <ds:schemaRef ds:uri="http://schemas.microsoft.com/sharepoint/v3/contenttype/forms"/>
  </ds:schemaRefs>
</ds:datastoreItem>
</file>

<file path=customXml/itemProps3.xml><?xml version="1.0" encoding="utf-8"?>
<ds:datastoreItem xmlns:ds="http://schemas.openxmlformats.org/officeDocument/2006/customXml" ds:itemID="{B20BBA1B-C17B-48AE-871E-FD5DA2C7C0CD}">
  <ds:schemaRefs>
    <ds:schemaRef ds:uri="http://schemas.microsoft.com/office/2006/metadata/properties"/>
    <ds:schemaRef ds:uri="http://schemas.microsoft.com/office/infopath/2007/PartnerControls"/>
    <ds:schemaRef ds:uri="0b1c8c71-5c14-46ef-9c85-f6af5a95de9b"/>
    <ds:schemaRef ds:uri="c04bd5eb-5da3-4c78-b159-2bc8443a6345"/>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1</Pages>
  <Words>2042</Words>
  <Characters>11028</Characters>
  <Application>Microsoft Office Word</Application>
  <DocSecurity>0</DocSecurity>
  <Lines>91</Lines>
  <Paragraphs>26</Paragraphs>
  <ScaleCrop>false</ScaleCrop>
  <Company>Tribunal de Justiça do Estado do Paraná</Company>
  <LinksUpToDate>false</LinksUpToDate>
  <CharactersWithSpaces>13044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70</cp:revision>
  <cp:lastPrinted>2025-07-11T18:35:00Z</cp:lastPrinted>
  <dcterms:created xsi:type="dcterms:W3CDTF">2024-02-08T17:42:00Z</dcterms:created>
  <dcterms:modified xsi:type="dcterms:W3CDTF">2026-04-08T15:39:00Z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371800</vt:r8>
  </property>
  <property fmtid="{D5CDD505-2E9C-101B-9397-08002B2CF9AE}" pid="4" name="docLang">
    <vt:lpwstr>pt</vt:lpwstr>
  </property>
  <property fmtid="{D5CDD505-2E9C-101B-9397-08002B2CF9AE}" pid="5" name="MediaServiceImageTags">
    <vt:lpwstr/>
  </property>
</Properties>
</file>