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ECF54" w14:textId="77777777" w:rsidR="00E976A7" w:rsidRDefault="00706906" w:rsidP="00E976A7">
      <w:pPr>
        <w:ind w:firstLine="0"/>
        <w:rPr>
          <w:b/>
        </w:rPr>
      </w:pPr>
      <w:r>
        <w:rPr>
          <w:b/>
        </w:rPr>
        <w:t xml:space="preserve">DIREITO PENAL E PROCESSUAL PENAL. REVISÃO CRIMINAL. </w:t>
      </w:r>
      <w:r w:rsidR="00F0399D">
        <w:rPr>
          <w:b/>
        </w:rPr>
        <w:t xml:space="preserve">TRÁFICO ILÍCITO DE ENTORPECENTES. DOSIMETRIA. PRIMEIRA FASE. </w:t>
      </w:r>
      <w:r w:rsidR="00587C7B">
        <w:rPr>
          <w:b/>
        </w:rPr>
        <w:t xml:space="preserve">PENA-BASE. </w:t>
      </w:r>
      <w:r w:rsidR="00F0399D">
        <w:rPr>
          <w:b/>
        </w:rPr>
        <w:t xml:space="preserve">QUANTIDADE. </w:t>
      </w:r>
      <w:r w:rsidR="00587C7B">
        <w:rPr>
          <w:b/>
        </w:rPr>
        <w:t xml:space="preserve">PREPONDERÂNCIA. </w:t>
      </w:r>
      <w:r w:rsidR="00F0399D">
        <w:rPr>
          <w:b/>
        </w:rPr>
        <w:t>PROPORCIONALIDADE.</w:t>
      </w:r>
      <w:r w:rsidR="00587C7B">
        <w:rPr>
          <w:b/>
        </w:rPr>
        <w:t xml:space="preserve"> RAZOABILIDADE. DISCRICIONARIEDADE MOTIVADA</w:t>
      </w:r>
      <w:r w:rsidR="00DB37F8">
        <w:rPr>
          <w:b/>
        </w:rPr>
        <w:t>. IMPROCEDÊNCIA.</w:t>
      </w:r>
    </w:p>
    <w:p w14:paraId="137555FE" w14:textId="20894F2A" w:rsidR="00AB02E8" w:rsidRDefault="00146748" w:rsidP="00E976A7">
      <w:pPr>
        <w:ind w:firstLine="0"/>
        <w:rPr>
          <w:b/>
        </w:rPr>
      </w:pPr>
      <w:r w:rsidRPr="00146748">
        <w:rPr>
          <w:b/>
        </w:rPr>
        <w:t>I. CASO EM EXAME</w:t>
      </w:r>
    </w:p>
    <w:p w14:paraId="0C8D5745" w14:textId="1833B3E5" w:rsidR="00AB02E8" w:rsidRPr="00146748" w:rsidRDefault="00AB02E8" w:rsidP="00E976A7">
      <w:pPr>
        <w:ind w:firstLine="0"/>
        <w:rPr>
          <w:b/>
        </w:rPr>
      </w:pPr>
      <w:r>
        <w:rPr>
          <w:b/>
        </w:rPr>
        <w:t>R</w:t>
      </w:r>
      <w:r w:rsidRPr="00AB02E8">
        <w:rPr>
          <w:b/>
        </w:rPr>
        <w:t xml:space="preserve">evisão criminal ajuizada contra </w:t>
      </w:r>
      <w:r>
        <w:rPr>
          <w:b/>
        </w:rPr>
        <w:t xml:space="preserve">condenação pela prática dos crimes de tráfico </w:t>
      </w:r>
      <w:r w:rsidR="009F6B5D">
        <w:rPr>
          <w:b/>
        </w:rPr>
        <w:t>ilícito de entorpecentes</w:t>
      </w:r>
      <w:r w:rsidR="00587C7B">
        <w:rPr>
          <w:b/>
        </w:rPr>
        <w:t xml:space="preserve">, com aumento da pena-base em razão da quantidade de droga apreendida. </w:t>
      </w:r>
      <w:r w:rsidR="005C2BB2">
        <w:rPr>
          <w:b/>
        </w:rPr>
        <w:t xml:space="preserve">O requerente </w:t>
      </w:r>
      <w:r w:rsidRPr="00AB02E8">
        <w:rPr>
          <w:b/>
        </w:rPr>
        <w:t xml:space="preserve">busca a recomposição da dosimetria, requerendo o </w:t>
      </w:r>
      <w:r w:rsidR="005C2BB2">
        <w:rPr>
          <w:b/>
        </w:rPr>
        <w:t xml:space="preserve">afastamento da exasperação </w:t>
      </w:r>
      <w:r w:rsidR="00587C7B">
        <w:rPr>
          <w:b/>
        </w:rPr>
        <w:t>ou, subsidiariamente, a redução da fração aplicada.</w:t>
      </w:r>
    </w:p>
    <w:p w14:paraId="6BB4A4A5" w14:textId="6D786167" w:rsidR="00146748" w:rsidRDefault="00146748" w:rsidP="00E976A7">
      <w:pPr>
        <w:ind w:firstLine="0"/>
        <w:rPr>
          <w:b/>
        </w:rPr>
      </w:pPr>
      <w:r w:rsidRPr="00146748">
        <w:rPr>
          <w:b/>
        </w:rPr>
        <w:t>II. QUEST</w:t>
      </w:r>
      <w:r w:rsidR="006A791B">
        <w:rPr>
          <w:b/>
        </w:rPr>
        <w:t>ÕES</w:t>
      </w:r>
      <w:r w:rsidRPr="00146748">
        <w:rPr>
          <w:b/>
        </w:rPr>
        <w:t xml:space="preserve"> EM DISCUSSÃO</w:t>
      </w:r>
    </w:p>
    <w:p w14:paraId="5CF0C624" w14:textId="0D4D6304" w:rsidR="00246AA7" w:rsidRDefault="00246AA7" w:rsidP="00E976A7">
      <w:pPr>
        <w:ind w:firstLine="0"/>
        <w:rPr>
          <w:b/>
        </w:rPr>
      </w:pPr>
      <w:r>
        <w:rPr>
          <w:b/>
        </w:rPr>
        <w:t>Hipótese de condenação contrária ao texto de lei, consubstanciada em</w:t>
      </w:r>
      <w:r w:rsidR="00D8661F">
        <w:rPr>
          <w:b/>
        </w:rPr>
        <w:t xml:space="preserve"> exasperação da pena-base pela quantidade de entorpecente à razão de 2/8 (dois oitavos).</w:t>
      </w:r>
    </w:p>
    <w:p w14:paraId="7BD502AF" w14:textId="6679F18A" w:rsidR="00146748" w:rsidRDefault="00146748" w:rsidP="00E976A7">
      <w:pPr>
        <w:ind w:firstLine="0"/>
        <w:rPr>
          <w:b/>
        </w:rPr>
      </w:pPr>
      <w:r w:rsidRPr="00146748">
        <w:rPr>
          <w:b/>
        </w:rPr>
        <w:t>III. RAZÕES DE DECIDIR</w:t>
      </w:r>
    </w:p>
    <w:p w14:paraId="36782B2F" w14:textId="196AB416" w:rsidR="006A791B" w:rsidRDefault="00D8661F" w:rsidP="00E976A7">
      <w:pPr>
        <w:ind w:firstLine="0"/>
        <w:rPr>
          <w:b/>
        </w:rPr>
      </w:pPr>
      <w:proofErr w:type="spellStart"/>
      <w:r>
        <w:rPr>
          <w:b/>
        </w:rPr>
        <w:t>II</w:t>
      </w:r>
      <w:r w:rsidR="00A71341">
        <w:rPr>
          <w:b/>
        </w:rPr>
        <w:t>I.I</w:t>
      </w:r>
      <w:proofErr w:type="spellEnd"/>
      <w:r w:rsidR="00A71341">
        <w:rPr>
          <w:b/>
        </w:rPr>
        <w:t xml:space="preserve">. </w:t>
      </w:r>
      <w:r w:rsidR="00D6767C">
        <w:rPr>
          <w:b/>
        </w:rPr>
        <w:t>A</w:t>
      </w:r>
      <w:r w:rsidR="00E916D6">
        <w:rPr>
          <w:b/>
        </w:rPr>
        <w:t xml:space="preserve"> readequação da dosimetria em sede de revisão criminal pressupõe efetiva demonstração </w:t>
      </w:r>
      <w:r w:rsidR="00D6767C">
        <w:rPr>
          <w:b/>
        </w:rPr>
        <w:t>de erro judiciário, caracterizado por contrariedade à evidência dos autos ou a texto expresso da lei.</w:t>
      </w:r>
    </w:p>
    <w:p w14:paraId="5A4DE36A" w14:textId="0AB4CFE2" w:rsidR="00A71341" w:rsidRDefault="00A71341" w:rsidP="00E976A7">
      <w:pPr>
        <w:ind w:firstLine="0"/>
        <w:rPr>
          <w:b/>
        </w:rPr>
      </w:pPr>
      <w:proofErr w:type="spellStart"/>
      <w:r>
        <w:rPr>
          <w:b/>
        </w:rPr>
        <w:t>III.II</w:t>
      </w:r>
      <w:proofErr w:type="spellEnd"/>
      <w:r>
        <w:rPr>
          <w:b/>
        </w:rPr>
        <w:t xml:space="preserve">. Segundo referências jurisprudenciais, a quantia de 910 (novecentos e dez) gramas de maconha </w:t>
      </w:r>
      <w:r w:rsidR="00B90292">
        <w:rPr>
          <w:b/>
        </w:rPr>
        <w:t>deve ser considerada expressiva, justificando a elevação da pena-base, com fundamento no artigo 42 da Lei n</w:t>
      </w:r>
      <w:r w:rsidR="00680A65">
        <w:rPr>
          <w:b/>
        </w:rPr>
        <w:t>.º 11.343 de 2006.</w:t>
      </w:r>
    </w:p>
    <w:p w14:paraId="38914821" w14:textId="7AEFEB27" w:rsidR="00680A65" w:rsidRDefault="00680A65" w:rsidP="00E976A7">
      <w:pPr>
        <w:ind w:firstLine="0"/>
        <w:rPr>
          <w:b/>
        </w:rPr>
      </w:pPr>
      <w:proofErr w:type="spellStart"/>
      <w:r>
        <w:rPr>
          <w:b/>
        </w:rPr>
        <w:t>III.III</w:t>
      </w:r>
      <w:proofErr w:type="spellEnd"/>
      <w:r>
        <w:rPr>
          <w:b/>
        </w:rPr>
        <w:t xml:space="preserve">. Na quantificação da pena-base, a definição da fração de aumento </w:t>
      </w:r>
      <w:r w:rsidR="00CD49CD">
        <w:rPr>
          <w:b/>
        </w:rPr>
        <w:t xml:space="preserve">subordina-se à discricionariedade motivada do julgador, consectário da persuasão racional, </w:t>
      </w:r>
      <w:r w:rsidR="00683890">
        <w:rPr>
          <w:b/>
        </w:rPr>
        <w:t>sendo possível a atribuição d</w:t>
      </w:r>
      <w:r w:rsidR="007C36B2">
        <w:rPr>
          <w:b/>
        </w:rPr>
        <w:t>e 2/8 (dois oitavos) a uma circunstância judicial, desde que haja fundamentação idônea.</w:t>
      </w:r>
    </w:p>
    <w:p w14:paraId="3801D359" w14:textId="4496516F" w:rsidR="007C36B2" w:rsidRDefault="007C36B2" w:rsidP="00E976A7">
      <w:pPr>
        <w:ind w:firstLine="0"/>
        <w:rPr>
          <w:b/>
        </w:rPr>
      </w:pPr>
      <w:proofErr w:type="spellStart"/>
      <w:r>
        <w:rPr>
          <w:b/>
        </w:rPr>
        <w:t>III.IV</w:t>
      </w:r>
      <w:proofErr w:type="spellEnd"/>
      <w:r>
        <w:rPr>
          <w:b/>
        </w:rPr>
        <w:t>. A preponderância do binômio quantidade e natureza do entorpecente</w:t>
      </w:r>
      <w:r w:rsidR="002648A9">
        <w:rPr>
          <w:b/>
        </w:rPr>
        <w:t xml:space="preserve"> e expressiva quantidade de droga apreendida justificam a exasperação da pena-base em fração superior </w:t>
      </w:r>
      <w:r w:rsidR="00416603">
        <w:rPr>
          <w:b/>
        </w:rPr>
        <w:t>às frações de 1/8 (um oitavo) e 1/6 (um sexto), comumente utilizadas</w:t>
      </w:r>
      <w:r w:rsidR="009F6B5D">
        <w:rPr>
          <w:b/>
        </w:rPr>
        <w:t>.</w:t>
      </w:r>
    </w:p>
    <w:p w14:paraId="6AF28E16" w14:textId="77777777" w:rsidR="00146748" w:rsidRDefault="00146748" w:rsidP="00E976A7">
      <w:pPr>
        <w:ind w:firstLine="0"/>
        <w:rPr>
          <w:b/>
        </w:rPr>
      </w:pPr>
      <w:r w:rsidRPr="00146748">
        <w:rPr>
          <w:b/>
        </w:rPr>
        <w:t>IV. SOLUÇÃO DO CASO</w:t>
      </w:r>
    </w:p>
    <w:p w14:paraId="4F2A74F9" w14:textId="149330B4" w:rsidR="006A791B" w:rsidRPr="00146748" w:rsidRDefault="006A791B" w:rsidP="00E976A7">
      <w:pPr>
        <w:ind w:firstLine="0"/>
        <w:rPr>
          <w:b/>
        </w:rPr>
      </w:pPr>
      <w:r>
        <w:rPr>
          <w:b/>
        </w:rPr>
        <w:t>Revisão criminal conhecida e julgada improcedente.</w:t>
      </w:r>
    </w:p>
    <w:p w14:paraId="34905683" w14:textId="79C94E94" w:rsidR="00146748" w:rsidRDefault="00146748" w:rsidP="00E976A7">
      <w:pPr>
        <w:ind w:firstLine="0"/>
        <w:rPr>
          <w:b/>
        </w:rPr>
      </w:pPr>
      <w:r w:rsidRPr="00146748">
        <w:rPr>
          <w:b/>
        </w:rPr>
        <w:t xml:space="preserve">V. </w:t>
      </w:r>
      <w:r w:rsidR="00CC17AA">
        <w:rPr>
          <w:b/>
        </w:rPr>
        <w:t>LEGISLAÇÃO E JURISPRUDÊNCIA UTILIZADAS</w:t>
      </w:r>
    </w:p>
    <w:p w14:paraId="206717D3" w14:textId="77777777" w:rsidR="001C2D4C" w:rsidRDefault="001C2D4C" w:rsidP="00E976A7">
      <w:pPr>
        <w:ind w:firstLine="0"/>
        <w:rPr>
          <w:b/>
        </w:rPr>
      </w:pPr>
      <w:r>
        <w:rPr>
          <w:b/>
        </w:rPr>
        <w:t>V. I. Legislação</w:t>
      </w:r>
    </w:p>
    <w:p w14:paraId="3FE61ACF" w14:textId="47581CC3" w:rsidR="00C175E9" w:rsidRDefault="00C175E9" w:rsidP="00E976A7">
      <w:pPr>
        <w:ind w:firstLine="0"/>
        <w:rPr>
          <w:b/>
        </w:rPr>
      </w:pPr>
      <w:r>
        <w:rPr>
          <w:b/>
        </w:rPr>
        <w:t xml:space="preserve">Lei n.º 11.343 de 2006: art. </w:t>
      </w:r>
      <w:r w:rsidR="00D46DBB">
        <w:rPr>
          <w:b/>
        </w:rPr>
        <w:t>42.</w:t>
      </w:r>
    </w:p>
    <w:p w14:paraId="2DE9BFE4" w14:textId="0C07EC8A" w:rsidR="00D46DBB" w:rsidRDefault="00D46DBB" w:rsidP="00E976A7">
      <w:pPr>
        <w:ind w:firstLine="0"/>
        <w:rPr>
          <w:b/>
        </w:rPr>
      </w:pPr>
      <w:r>
        <w:rPr>
          <w:b/>
        </w:rPr>
        <w:t>CP: art. 59.</w:t>
      </w:r>
    </w:p>
    <w:p w14:paraId="6C225942" w14:textId="0D1BBFD2" w:rsidR="001C4E8D" w:rsidRDefault="001C4E8D" w:rsidP="00E976A7">
      <w:pPr>
        <w:ind w:firstLine="0"/>
        <w:rPr>
          <w:b/>
        </w:rPr>
      </w:pPr>
      <w:r>
        <w:rPr>
          <w:b/>
        </w:rPr>
        <w:t xml:space="preserve">CP: art. </w:t>
      </w:r>
      <w:r w:rsidR="006A791B">
        <w:rPr>
          <w:b/>
        </w:rPr>
        <w:t>621, I.</w:t>
      </w:r>
    </w:p>
    <w:p w14:paraId="7CE06953" w14:textId="77777777" w:rsidR="00D46DBB" w:rsidRDefault="001C2D4C" w:rsidP="00E976A7">
      <w:pPr>
        <w:ind w:firstLine="0"/>
        <w:rPr>
          <w:b/>
        </w:rPr>
      </w:pPr>
      <w:r>
        <w:rPr>
          <w:b/>
        </w:rPr>
        <w:t xml:space="preserve">V. II. </w:t>
      </w:r>
      <w:r w:rsidR="00146748" w:rsidRPr="00146748">
        <w:rPr>
          <w:b/>
        </w:rPr>
        <w:t>Jurisprudência</w:t>
      </w:r>
    </w:p>
    <w:p w14:paraId="6F2D10BA" w14:textId="44CCA5BD" w:rsidR="00D46DBB" w:rsidRDefault="00D46DBB" w:rsidP="00E976A7">
      <w:pPr>
        <w:ind w:firstLine="0"/>
        <w:rPr>
          <w:b/>
        </w:rPr>
      </w:pPr>
      <w:r w:rsidRPr="00D46DBB">
        <w:rPr>
          <w:b/>
        </w:rPr>
        <w:t xml:space="preserve">STF. Tribunal Pleno. Relator: Ministro Edson Fachin. </w:t>
      </w:r>
      <w:proofErr w:type="spellStart"/>
      <w:r w:rsidRPr="00D46DBB">
        <w:rPr>
          <w:b/>
        </w:rPr>
        <w:t>RvC</w:t>
      </w:r>
      <w:proofErr w:type="spellEnd"/>
      <w:r w:rsidRPr="00D46DBB">
        <w:rPr>
          <w:b/>
        </w:rPr>
        <w:t xml:space="preserve"> 5475 AM. 0081195-88.2018.1.00.0000. Data de Julgamento: 6-11-2019. Data de Publicação: 15-4-2020</w:t>
      </w:r>
      <w:r>
        <w:rPr>
          <w:b/>
        </w:rPr>
        <w:t>;</w:t>
      </w:r>
    </w:p>
    <w:p w14:paraId="47B6DDC9" w14:textId="5DE8BDF7" w:rsidR="00D46DBB" w:rsidRDefault="00D46DBB" w:rsidP="00E976A7">
      <w:pPr>
        <w:ind w:firstLine="0"/>
        <w:rPr>
          <w:b/>
        </w:rPr>
      </w:pPr>
      <w:proofErr w:type="spellStart"/>
      <w:r w:rsidRPr="00D46DBB">
        <w:rPr>
          <w:b/>
        </w:rPr>
        <w:t>TJPR</w:t>
      </w:r>
      <w:proofErr w:type="spellEnd"/>
      <w:r w:rsidRPr="00D46DBB">
        <w:rPr>
          <w:b/>
        </w:rPr>
        <w:t>. 4ª Câmara Criminal. Relator: Desembargador Antônio Carlos Ribeiro Martins. 0005807-97.2024.8.16.0079. Dois Vizinhos. Data de julgamento: 9-9-2025</w:t>
      </w:r>
      <w:r>
        <w:rPr>
          <w:b/>
        </w:rPr>
        <w:t>;</w:t>
      </w:r>
    </w:p>
    <w:p w14:paraId="0C1A34D3" w14:textId="4D840CB8" w:rsidR="00D46DBB" w:rsidRDefault="00D46DBB" w:rsidP="00E976A7">
      <w:pPr>
        <w:ind w:firstLine="0"/>
        <w:rPr>
          <w:b/>
        </w:rPr>
      </w:pPr>
      <w:r w:rsidRPr="00D46DBB">
        <w:rPr>
          <w:b/>
        </w:rPr>
        <w:t xml:space="preserve">STJ. Quinta Turma. Relator: Ministro </w:t>
      </w:r>
      <w:proofErr w:type="spellStart"/>
      <w:r w:rsidRPr="00D46DBB">
        <w:rPr>
          <w:b/>
        </w:rPr>
        <w:t>Messod</w:t>
      </w:r>
      <w:proofErr w:type="spellEnd"/>
      <w:r w:rsidRPr="00D46DBB">
        <w:rPr>
          <w:b/>
        </w:rPr>
        <w:t xml:space="preserve"> Azulay Neto. </w:t>
      </w:r>
      <w:proofErr w:type="spellStart"/>
      <w:r w:rsidRPr="00D46DBB">
        <w:rPr>
          <w:b/>
        </w:rPr>
        <w:t>AREsp</w:t>
      </w:r>
      <w:proofErr w:type="spellEnd"/>
      <w:r w:rsidRPr="00D46DBB">
        <w:rPr>
          <w:b/>
        </w:rPr>
        <w:t xml:space="preserve"> n. 2.902.284/DF. Data de julgamento: 19-6-2025. Data de publicação: 27-8-2025</w:t>
      </w:r>
      <w:r>
        <w:rPr>
          <w:b/>
        </w:rPr>
        <w:t>.</w:t>
      </w:r>
    </w:p>
    <w:p w14:paraId="322EEE98" w14:textId="77777777" w:rsidR="00D46DBB" w:rsidRDefault="00D46DBB" w:rsidP="0003512A">
      <w:pPr>
        <w:rPr>
          <w:b/>
        </w:rPr>
      </w:pPr>
    </w:p>
    <w:p w14:paraId="3606520F" w14:textId="64692EA2" w:rsidR="00CE2513" w:rsidRPr="00D46DBB" w:rsidRDefault="00AA28DF" w:rsidP="0003512A">
      <w:pPr>
        <w:rPr>
          <w:b/>
        </w:rPr>
      </w:pPr>
      <w:r w:rsidRPr="00D46DBB">
        <w:rPr>
          <w:b/>
        </w:rPr>
        <w:t>I – RELATÓRIO</w:t>
      </w:r>
    </w:p>
    <w:p w14:paraId="5D490872" w14:textId="4E5D87F5" w:rsidR="00257BD3" w:rsidRDefault="00CE2513" w:rsidP="0003512A">
      <w:pPr>
        <w:pStyle w:val="PargrafodaLista"/>
        <w:ind w:left="0"/>
        <w:contextualSpacing w:val="0"/>
      </w:pPr>
      <w:r>
        <w:t>Cuida-se</w:t>
      </w:r>
      <w:r w:rsidR="003B076E" w:rsidRPr="003B076E">
        <w:t xml:space="preserve"> de revisão criminal ajuizada por </w:t>
      </w:r>
      <w:proofErr w:type="spellStart"/>
      <w:r w:rsidR="00B03616">
        <w:t>Nilmarcos</w:t>
      </w:r>
      <w:proofErr w:type="spellEnd"/>
      <w:r w:rsidR="00B03616">
        <w:t xml:space="preserve"> do Nascimento da Silva, tendo como objetivo a desconstituição de sentença proferida pelo juízo da Vara Criminal de Nova Esperança, confirmada pela 5ª Câmara Criminal do Tribunal de Justiça do Estado do Paraná</w:t>
      </w:r>
      <w:r w:rsidR="007C5BD5">
        <w:t xml:space="preserve">, que o condenou pela prática do crime de tráfico ilícito de entorpecentes </w:t>
      </w:r>
      <w:r w:rsidR="001D6C7F">
        <w:t xml:space="preserve">às penas de </w:t>
      </w:r>
      <w:r w:rsidR="008D4A94">
        <w:t>8 (oito) anos e 9 (nove) meses de reclusão, em regime inicial fechado, e 875 (oitocentos e setenta e cinco) dias-multa</w:t>
      </w:r>
      <w:r w:rsidR="009D4947">
        <w:t>.</w:t>
      </w:r>
    </w:p>
    <w:p w14:paraId="0DA16FFE" w14:textId="22E81351" w:rsidR="0090778C" w:rsidRDefault="00BB0A8D" w:rsidP="0003512A">
      <w:pPr>
        <w:pStyle w:val="PargrafodaLista"/>
        <w:ind w:left="0"/>
        <w:contextualSpacing w:val="0"/>
      </w:pPr>
      <w:r>
        <w:t>Sustenta o requerente</w:t>
      </w:r>
      <w:r w:rsidR="00257BD3">
        <w:t xml:space="preserve">, em síntese, </w:t>
      </w:r>
      <w:r w:rsidR="005662CA">
        <w:t xml:space="preserve">que a dosimetria da pena foi realizada em contrariedade com o texto da lei e com os ditames jurisprudenciais, </w:t>
      </w:r>
      <w:r w:rsidR="00FF177D">
        <w:t>pois o aumento da pena</w:t>
      </w:r>
      <w:r w:rsidR="00060CA7">
        <w:t xml:space="preserve">-base em 2/8 (dois oitavos) </w:t>
      </w:r>
      <w:r w:rsidR="00FF177D">
        <w:t>em razão da quantidade de entorpecente, no caso, 910 (novecentos e dez) gramas de maconha</w:t>
      </w:r>
      <w:r w:rsidR="00572E8F">
        <w:t xml:space="preserve">, viola a razoabilidade e </w:t>
      </w:r>
      <w:r w:rsidR="00B51013">
        <w:t xml:space="preserve">a </w:t>
      </w:r>
      <w:r w:rsidR="00572E8F">
        <w:t>proporcionalidade</w:t>
      </w:r>
      <w:r w:rsidR="00060CA7">
        <w:t xml:space="preserve"> (evento 1.1).</w:t>
      </w:r>
    </w:p>
    <w:p w14:paraId="2EE11F12" w14:textId="7F56966A" w:rsidR="0090778C" w:rsidRPr="009F10FC" w:rsidRDefault="0090778C" w:rsidP="0003512A">
      <w:pPr>
        <w:pStyle w:val="PargrafodaLista"/>
        <w:ind w:left="0"/>
        <w:contextualSpacing w:val="0"/>
      </w:pPr>
      <w:r w:rsidRPr="009F10FC">
        <w:t xml:space="preserve">A Procuradoria-Geral de Justiça, em seu parecer, manifestou-se pelo </w:t>
      </w:r>
      <w:r>
        <w:t>conhecimento e</w:t>
      </w:r>
      <w:r w:rsidRPr="009F10FC">
        <w:t xml:space="preserve"> desprovimento da ação, aduzindo que a fixação da pena atendeu às particularidades do caso concreto e que a revisão não autoriza a rediscussão de matéria já analisada nas vias ordinárias</w:t>
      </w:r>
      <w:r>
        <w:t xml:space="preserve"> (evento 17.1).</w:t>
      </w:r>
    </w:p>
    <w:p w14:paraId="67327EC8" w14:textId="2E2C1C49" w:rsidR="009F10FC" w:rsidRDefault="00AA28DF" w:rsidP="0003512A">
      <w:pPr>
        <w:pStyle w:val="PargrafodaLista"/>
        <w:ind w:left="0"/>
        <w:contextualSpacing w:val="0"/>
      </w:pPr>
      <w:r>
        <w:t>É o necessário relato.</w:t>
      </w:r>
    </w:p>
    <w:p w14:paraId="2D799695" w14:textId="77777777" w:rsidR="003D7223" w:rsidRDefault="003D7223" w:rsidP="0003512A">
      <w:pPr>
        <w:pStyle w:val="PargrafodaLista"/>
        <w:ind w:left="0"/>
        <w:contextualSpacing w:val="0"/>
      </w:pPr>
    </w:p>
    <w:p w14:paraId="54C5CE34" w14:textId="77777777" w:rsidR="00AA28DF" w:rsidRPr="00AA28DF" w:rsidRDefault="00AA28DF" w:rsidP="0003512A">
      <w:pPr>
        <w:pStyle w:val="PargrafodaLista"/>
        <w:ind w:left="0"/>
        <w:contextualSpacing w:val="0"/>
        <w:rPr>
          <w:b/>
        </w:rPr>
      </w:pPr>
      <w:r w:rsidRPr="00AA28DF">
        <w:rPr>
          <w:b/>
        </w:rPr>
        <w:t>II – VOTO E SUA FUNDAMENTAÇÃO</w:t>
      </w:r>
    </w:p>
    <w:p w14:paraId="520D6BA8" w14:textId="06239E08" w:rsidR="00CA499B" w:rsidRPr="002D323D" w:rsidRDefault="00AA28DF" w:rsidP="0003512A">
      <w:pPr>
        <w:pStyle w:val="PargrafodaLista"/>
        <w:ind w:left="0"/>
        <w:contextualSpacing w:val="0"/>
      </w:pPr>
      <w:r>
        <w:t>II.I – DO JUÍZO DE ADMISSIBILIDADE</w:t>
      </w:r>
    </w:p>
    <w:p w14:paraId="67E7E08C" w14:textId="50520AC7" w:rsidR="00CA499B" w:rsidRDefault="00CA499B" w:rsidP="0003512A">
      <w:pPr>
        <w:pStyle w:val="PargrafodaLista"/>
        <w:ind w:left="0"/>
        <w:contextualSpacing w:val="0"/>
      </w:pPr>
      <w:r>
        <w:t>Satisfeitos</w:t>
      </w:r>
      <w:r w:rsidR="002D323D">
        <w:t xml:space="preserve"> </w:t>
      </w:r>
      <w:r>
        <w:t>os pressupostos processuais, conhece-se da revisão criminal.</w:t>
      </w:r>
    </w:p>
    <w:p w14:paraId="4C8AA5DE" w14:textId="77777777" w:rsidR="00B14F02" w:rsidRDefault="00B14F02" w:rsidP="0003512A">
      <w:pPr>
        <w:pStyle w:val="PargrafodaLista"/>
        <w:ind w:left="0"/>
        <w:contextualSpacing w:val="0"/>
      </w:pPr>
    </w:p>
    <w:p w14:paraId="283C356E" w14:textId="77777777" w:rsidR="005F588A" w:rsidRDefault="005F588A" w:rsidP="0003512A">
      <w:pPr>
        <w:pStyle w:val="PargrafodaLista"/>
        <w:ind w:left="0"/>
        <w:contextualSpacing w:val="0"/>
      </w:pPr>
      <w:r>
        <w:t>II.II – DA COMPOSIÇÃO QUANTITATIVA DA PENA</w:t>
      </w:r>
    </w:p>
    <w:p w14:paraId="0CD1EE0E" w14:textId="6B87B6F9" w:rsidR="00D63DB6" w:rsidRDefault="00D63DB6" w:rsidP="0003512A">
      <w:pPr>
        <w:pStyle w:val="PargrafodaLista"/>
        <w:ind w:left="0"/>
        <w:contextualSpacing w:val="0"/>
      </w:pPr>
      <w:r>
        <w:t>Cinge-se a controvérsia,</w:t>
      </w:r>
      <w:r w:rsidRPr="00B14F02">
        <w:t xml:space="preserve"> essencialmente</w:t>
      </w:r>
      <w:r>
        <w:t>,</w:t>
      </w:r>
      <w:r w:rsidRPr="00B14F02">
        <w:t xml:space="preserve"> à desconstituição do cômputo dosimétrico. </w:t>
      </w:r>
      <w:r>
        <w:t xml:space="preserve">O requerente sustenta a </w:t>
      </w:r>
      <w:r w:rsidRPr="007C41B7">
        <w:t>desproporcionalidade</w:t>
      </w:r>
      <w:r>
        <w:t xml:space="preserve"> </w:t>
      </w:r>
      <w:r w:rsidR="00B51013">
        <w:t xml:space="preserve">e a </w:t>
      </w:r>
      <w:r>
        <w:t>irrazoabilidade na exasperação da pena-base, tanto pelo fundamento empregado, a quantidade de entorpecente, quanto pela fração estipulada pelo julgador.</w:t>
      </w:r>
    </w:p>
    <w:p w14:paraId="727C7804" w14:textId="77777777" w:rsidR="00D63DB6" w:rsidRDefault="00D63DB6" w:rsidP="0003512A">
      <w:pPr>
        <w:pStyle w:val="PargrafodaLista"/>
        <w:ind w:left="0"/>
        <w:contextualSpacing w:val="0"/>
      </w:pPr>
      <w:r w:rsidRPr="00B14F02">
        <w:t xml:space="preserve">A pretensão, contudo, carece de </w:t>
      </w:r>
      <w:r>
        <w:t xml:space="preserve">plausibilidade jurídica para prosperar nesta via processual. </w:t>
      </w:r>
      <w:r w:rsidRPr="00B14F02">
        <w:t xml:space="preserve">A jurisprudência pátria consolidou o entendimento diretivo de que a revisão criminal consubstancia providência de natureza excepcional, não se prestando à função de mero sucedâneo recursal. </w:t>
      </w:r>
      <w:r w:rsidRPr="007C41B7">
        <w:t>A desconstituição da coisa julgada em matéria de dosimetria da pena é medida excepcional, reservada aos casos de flagrante ilegalidade, teratologia ou ausência absoluta de fundamentação, o que não se verifica no caso vertente.</w:t>
      </w:r>
    </w:p>
    <w:p w14:paraId="5C25D174" w14:textId="1CF808F6" w:rsidR="00D63DB6" w:rsidRDefault="00D63DB6" w:rsidP="0003512A">
      <w:pPr>
        <w:pStyle w:val="PargrafodaLista"/>
        <w:ind w:left="0"/>
        <w:contextualSpacing w:val="0"/>
      </w:pPr>
      <w:r>
        <w:t>A esse respeito:</w:t>
      </w:r>
    </w:p>
    <w:p w14:paraId="31E1381E" w14:textId="77777777" w:rsidR="00D63DB6" w:rsidRDefault="00D63DB6" w:rsidP="0003512A">
      <w:pPr>
        <w:pStyle w:val="PargrafodaLista"/>
        <w:ind w:left="0"/>
        <w:contextualSpacing w:val="0"/>
      </w:pPr>
    </w:p>
    <w:p w14:paraId="28329CBC" w14:textId="77777777" w:rsidR="00D63DB6" w:rsidRPr="00685AB4" w:rsidRDefault="00D63DB6" w:rsidP="00D8137F">
      <w:pPr>
        <w:pStyle w:val="PargrafodaLista"/>
        <w:ind w:left="2268" w:firstLine="0"/>
        <w:contextualSpacing w:val="0"/>
        <w:rPr>
          <w:sz w:val="20"/>
          <w:szCs w:val="18"/>
        </w:rPr>
      </w:pPr>
      <w:r w:rsidRPr="00685AB4">
        <w:rPr>
          <w:sz w:val="20"/>
          <w:szCs w:val="18"/>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w:t>
      </w:r>
      <w:r w:rsidRPr="00685AB4">
        <w:rPr>
          <w:b/>
          <w:bCs/>
          <w:sz w:val="20"/>
          <w:szCs w:val="18"/>
        </w:rPr>
        <w:t>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w:t>
      </w:r>
      <w:r w:rsidRPr="00685AB4">
        <w:rPr>
          <w:sz w:val="20"/>
          <w:szCs w:val="18"/>
        </w:rPr>
        <w:t xml:space="preserve">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 Tribunal Pleno. Relator: Ministro Edson Fachin. </w:t>
      </w:r>
      <w:proofErr w:type="spellStart"/>
      <w:r w:rsidRPr="00685AB4">
        <w:rPr>
          <w:sz w:val="20"/>
          <w:szCs w:val="18"/>
        </w:rPr>
        <w:t>RvC</w:t>
      </w:r>
      <w:proofErr w:type="spellEnd"/>
      <w:r w:rsidRPr="00685AB4">
        <w:rPr>
          <w:sz w:val="20"/>
          <w:szCs w:val="18"/>
        </w:rPr>
        <w:t xml:space="preserve"> 5475 AM. 0081195-88.2018.1.00.0000. Data de Julgamento: 6-11-2019. Data de Publicação: 15-4-2020).</w:t>
      </w:r>
    </w:p>
    <w:p w14:paraId="7543CE5F" w14:textId="77777777" w:rsidR="00680EA9" w:rsidRDefault="00680EA9" w:rsidP="0003512A"/>
    <w:p w14:paraId="03EAE4C7" w14:textId="6E597F99" w:rsidR="00820F00" w:rsidRDefault="0027400F" w:rsidP="0003512A">
      <w:pPr>
        <w:pStyle w:val="PargrafodaLista"/>
        <w:ind w:left="0"/>
        <w:contextualSpacing w:val="0"/>
      </w:pPr>
      <w:r>
        <w:t xml:space="preserve">No caso, a quantidade de entorpecente apreendida, </w:t>
      </w:r>
      <w:r>
        <w:t>910 (novecentos e dez) gramas</w:t>
      </w:r>
      <w:r>
        <w:t xml:space="preserve"> de maconha, é significativamente elevada e representa elevado potencial ofensivo à saúde pública, bem jurídico protegido pela norma penal. Com efeito, o fracionamento viabilizaria centenas de porções individuais</w:t>
      </w:r>
      <w:r>
        <w:t xml:space="preserve"> para comercialização</w:t>
      </w:r>
      <w:r>
        <w:t xml:space="preserve">. </w:t>
      </w:r>
      <w:r w:rsidR="00820F00">
        <w:t xml:space="preserve">No ponto, a Procuradoria-Geral de Justiça colacionou referências jurisprudenciais </w:t>
      </w:r>
      <w:r w:rsidR="00190145">
        <w:t>no sentido de que este Órgão julgou correto o aumento de pen</w:t>
      </w:r>
      <w:r w:rsidR="00454879">
        <w:t xml:space="preserve">a-base, pela mesma substância, em quantidades ligeiramente inferiores, ratificando a razoabilidade </w:t>
      </w:r>
      <w:r w:rsidR="00AB32C6">
        <w:t>e adequação do entendimento sufragado.</w:t>
      </w:r>
    </w:p>
    <w:p w14:paraId="42349A5F" w14:textId="55B30AC0" w:rsidR="00AB32C6" w:rsidRDefault="003C4EE4" w:rsidP="0003512A">
      <w:pPr>
        <w:pStyle w:val="PargrafodaLista"/>
        <w:ind w:left="0"/>
        <w:contextualSpacing w:val="0"/>
      </w:pPr>
      <w:r>
        <w:t>Sobre o tema:</w:t>
      </w:r>
    </w:p>
    <w:p w14:paraId="4EE482B1" w14:textId="77777777" w:rsidR="00EE1363" w:rsidRDefault="00EE1363" w:rsidP="0003512A">
      <w:pPr>
        <w:pStyle w:val="PargrafodaLista"/>
        <w:ind w:left="0"/>
        <w:contextualSpacing w:val="0"/>
      </w:pPr>
    </w:p>
    <w:p w14:paraId="70F9F381" w14:textId="306EA6F1" w:rsidR="00EE1363" w:rsidRDefault="003C4EE4" w:rsidP="00D8137F">
      <w:pPr>
        <w:pStyle w:val="PargrafodaLista"/>
        <w:ind w:left="2268" w:firstLine="0"/>
        <w:contextualSpacing w:val="0"/>
        <w:rPr>
          <w:sz w:val="20"/>
          <w:szCs w:val="18"/>
        </w:rPr>
      </w:pPr>
      <w:r w:rsidRPr="004F4496">
        <w:rPr>
          <w:sz w:val="20"/>
          <w:szCs w:val="18"/>
        </w:rPr>
        <w:t>DIREITO PENAL E PROCESSUAL PENAL. APELAÇÃO CRIMINAL. TRÁFICO DE DROGAS (ART. 33, CAPUT, LEI Nº 11.343/06). PEDIDO DE RECONHECIMENTO DA ATENUANTE DA CONFISSÃO ESPONTÂNEA NÃO CONHECIDO. ATENUANTE JÁ APLICADA PELO JUÍZO A QUO NA SENTENÇA. MÉRITO. DOSIMETRIA DA PENA. NATUREZA E QUANTIDADE. QUANTIDADE EXPRESSIVA. EXASPERAÇÃO DA PENA-BASE MANTIDA. INAPLICABILIDADE DO TRÁFICO PRIVILEGIADO. DEDICAÇÃO AO CRIME COMPROVADA. RECURSO CONHECIDO EM PARTE E, NA PARTE CONHECIDA, NÃO PROVIDO. I. CASO EM EXAME</w:t>
      </w:r>
      <w:r w:rsidR="004F4496">
        <w:rPr>
          <w:sz w:val="20"/>
          <w:szCs w:val="18"/>
        </w:rPr>
        <w:t xml:space="preserve"> </w:t>
      </w:r>
      <w:r w:rsidRPr="004F4496">
        <w:rPr>
          <w:sz w:val="20"/>
          <w:szCs w:val="18"/>
        </w:rPr>
        <w:t>1. Apelação criminal interposta por réu contra sentença que o condenou o apelante à pena de 5 anos, 1 mês e 20 dias de reclusão, em regime inicialmente semiaberto, além do pagamento de 469 dias</w:t>
      </w:r>
      <w:r w:rsidR="004F4496">
        <w:rPr>
          <w:sz w:val="20"/>
          <w:szCs w:val="18"/>
        </w:rPr>
        <w:t>-</w:t>
      </w:r>
      <w:r w:rsidRPr="004F4496">
        <w:rPr>
          <w:sz w:val="20"/>
          <w:szCs w:val="18"/>
        </w:rPr>
        <w:t>multa, pela prática do crime de tráfico de drogas previsto no art. 33, caput, da Lei nº 11.343/2006. II. QUESTÃO EM DISCUSSÃO</w:t>
      </w:r>
      <w:r w:rsidR="004F4496">
        <w:rPr>
          <w:sz w:val="20"/>
          <w:szCs w:val="18"/>
        </w:rPr>
        <w:t xml:space="preserve"> </w:t>
      </w:r>
      <w:r w:rsidRPr="004F4496">
        <w:rPr>
          <w:sz w:val="20"/>
          <w:szCs w:val="18"/>
        </w:rPr>
        <w:t xml:space="preserve">2. Há três questões em discussão: i) verificar se deve ser aplicado a atenuante da confissão espontânea; </w:t>
      </w:r>
      <w:proofErr w:type="spellStart"/>
      <w:r w:rsidRPr="004F4496">
        <w:rPr>
          <w:sz w:val="20"/>
          <w:szCs w:val="18"/>
        </w:rPr>
        <w:t>ii</w:t>
      </w:r>
      <w:proofErr w:type="spellEnd"/>
      <w:r w:rsidRPr="004F4496">
        <w:rPr>
          <w:sz w:val="20"/>
          <w:szCs w:val="18"/>
        </w:rPr>
        <w:t xml:space="preserve">) verificar se a quantidade de droga apreendida justifica a exasperação da pena-base; </w:t>
      </w:r>
      <w:proofErr w:type="spellStart"/>
      <w:r w:rsidRPr="004F4496">
        <w:rPr>
          <w:sz w:val="20"/>
          <w:szCs w:val="18"/>
        </w:rPr>
        <w:t>iii</w:t>
      </w:r>
      <w:proofErr w:type="spellEnd"/>
      <w:r w:rsidRPr="004F4496">
        <w:rPr>
          <w:sz w:val="20"/>
          <w:szCs w:val="18"/>
        </w:rPr>
        <w:t>) analisar se estão presentes os requisitos para aplicação da causa especial de diminuição de pena do art. 33, §4º, da Lei de Drogas (tráfico privilegiado).</w:t>
      </w:r>
      <w:r w:rsidR="004F4496">
        <w:rPr>
          <w:sz w:val="20"/>
          <w:szCs w:val="18"/>
        </w:rPr>
        <w:t xml:space="preserve"> </w:t>
      </w:r>
      <w:r w:rsidRPr="004F4496">
        <w:rPr>
          <w:sz w:val="20"/>
          <w:szCs w:val="18"/>
        </w:rPr>
        <w:t>III. RAZÕES DE DECIDIR</w:t>
      </w:r>
      <w:r w:rsidR="004F4496">
        <w:rPr>
          <w:sz w:val="20"/>
          <w:szCs w:val="18"/>
        </w:rPr>
        <w:t xml:space="preserve"> </w:t>
      </w:r>
      <w:r w:rsidRPr="004F4496">
        <w:rPr>
          <w:sz w:val="20"/>
          <w:szCs w:val="18"/>
        </w:rPr>
        <w:t>3. O pedido de aplicação da atenuante da confissão não deve ser conhecido, visto que a atenuante já foi aplicada pelo juízo a quo. 4. A exasperação da pena-base com fundamento na natureza e quantidade da droga apreendida encontra amparo no art. 42 da Lei nº 11.343/2006 e é legítima diante da expressiva quantidade de 250 gramas de maconha apreendida, suscetível de fracionamento e com elevado potencial lesivo à saúde pública e à ordem social.</w:t>
      </w:r>
      <w:r w:rsidR="004F4496">
        <w:rPr>
          <w:sz w:val="20"/>
          <w:szCs w:val="18"/>
        </w:rPr>
        <w:t xml:space="preserve"> </w:t>
      </w:r>
      <w:r w:rsidRPr="004F4496">
        <w:rPr>
          <w:sz w:val="20"/>
          <w:szCs w:val="18"/>
        </w:rPr>
        <w:t>5. A fixação da pena está inserida no juízo de discricionariedade juridicamente vinculada do magistrado, que atua com base nos elementos concretos dos autos e deve observar os princípios da legalidade, proporcionalidade e individualização da pena.</w:t>
      </w:r>
      <w:r w:rsidR="004F4496">
        <w:rPr>
          <w:sz w:val="20"/>
          <w:szCs w:val="18"/>
        </w:rPr>
        <w:t xml:space="preserve"> </w:t>
      </w:r>
      <w:r w:rsidRPr="004F4496">
        <w:rPr>
          <w:sz w:val="20"/>
          <w:szCs w:val="18"/>
        </w:rPr>
        <w:t>6. A aplicação da causa especial de diminuição de pena</w:t>
      </w:r>
      <w:r w:rsidR="004F4496" w:rsidRPr="004F4496">
        <w:rPr>
          <w:sz w:val="20"/>
          <w:szCs w:val="18"/>
        </w:rPr>
        <w:t xml:space="preserve"> </w:t>
      </w:r>
      <w:r w:rsidR="004F4496" w:rsidRPr="004F4496">
        <w:rPr>
          <w:sz w:val="20"/>
          <w:szCs w:val="18"/>
        </w:rPr>
        <w:t>prevista no art. 33, §4º, da Lei nº 11.343/2006 exige a presença cumulativa de quatro requisitos, dentre eles a ausência de dedicação a atividades criminosas, o que não se verifica no caso concreto.</w:t>
      </w:r>
      <w:r w:rsidR="004F4496">
        <w:rPr>
          <w:sz w:val="20"/>
          <w:szCs w:val="18"/>
        </w:rPr>
        <w:t xml:space="preserve"> </w:t>
      </w:r>
      <w:r w:rsidR="004F4496" w:rsidRPr="004F4496">
        <w:rPr>
          <w:sz w:val="20"/>
          <w:szCs w:val="18"/>
        </w:rPr>
        <w:t>7. A apreensão de balança de precisão, caderno com anotações de comercialização de drogas e dinheiro em espécie sem comprovação de origem lícita, aliados à quantidade significativa da droga, evidencia dedicação habitual à atividade criminosa, de modo a afastar o benefício do tráfico privilegiado.</w:t>
      </w:r>
      <w:r w:rsidR="004F4496">
        <w:rPr>
          <w:sz w:val="20"/>
          <w:szCs w:val="18"/>
        </w:rPr>
        <w:t xml:space="preserve"> </w:t>
      </w:r>
      <w:r w:rsidR="004F4496" w:rsidRPr="004F4496">
        <w:rPr>
          <w:sz w:val="20"/>
          <w:szCs w:val="18"/>
        </w:rPr>
        <w:t>IV. DISPOSITIVO 8. Recurso conhecido em parte e, na parte conhecida, não provido. (</w:t>
      </w:r>
      <w:proofErr w:type="spellStart"/>
      <w:r w:rsidR="004F4496" w:rsidRPr="004F4496">
        <w:rPr>
          <w:sz w:val="20"/>
          <w:szCs w:val="18"/>
        </w:rPr>
        <w:t>TJPR</w:t>
      </w:r>
      <w:proofErr w:type="spellEnd"/>
      <w:r w:rsidR="004F4496">
        <w:rPr>
          <w:sz w:val="20"/>
          <w:szCs w:val="18"/>
        </w:rPr>
        <w:t>.</w:t>
      </w:r>
      <w:r w:rsidR="004F4496" w:rsidRPr="004F4496">
        <w:rPr>
          <w:sz w:val="20"/>
          <w:szCs w:val="18"/>
        </w:rPr>
        <w:t xml:space="preserve"> 4ª Câmara Criminal</w:t>
      </w:r>
      <w:r w:rsidR="004F4496">
        <w:rPr>
          <w:sz w:val="20"/>
          <w:szCs w:val="18"/>
        </w:rPr>
        <w:t xml:space="preserve">. Relator: Desembargador Antônio Carlos Ribeiro Martins. </w:t>
      </w:r>
      <w:r w:rsidR="004F4496" w:rsidRPr="004F4496">
        <w:rPr>
          <w:sz w:val="20"/>
          <w:szCs w:val="18"/>
        </w:rPr>
        <w:t>0005807-97.2024.8.16.0079</w:t>
      </w:r>
      <w:r w:rsidR="00EE1363">
        <w:rPr>
          <w:sz w:val="20"/>
          <w:szCs w:val="18"/>
        </w:rPr>
        <w:t>.</w:t>
      </w:r>
      <w:r w:rsidR="004F4496" w:rsidRPr="004F4496">
        <w:rPr>
          <w:sz w:val="20"/>
          <w:szCs w:val="18"/>
        </w:rPr>
        <w:t xml:space="preserve"> Dois Vizinhos</w:t>
      </w:r>
      <w:r w:rsidR="00EE1363">
        <w:rPr>
          <w:sz w:val="20"/>
          <w:szCs w:val="18"/>
        </w:rPr>
        <w:t>. Data de julgamento: 9-9-2025).</w:t>
      </w:r>
    </w:p>
    <w:p w14:paraId="5AC4807B" w14:textId="77777777" w:rsidR="00EE1363" w:rsidRDefault="00EE1363" w:rsidP="0003512A">
      <w:pPr>
        <w:pStyle w:val="PargrafodaLista"/>
        <w:ind w:left="0"/>
        <w:contextualSpacing w:val="0"/>
        <w:rPr>
          <w:sz w:val="20"/>
          <w:szCs w:val="18"/>
        </w:rPr>
      </w:pPr>
    </w:p>
    <w:p w14:paraId="3687D5C5" w14:textId="30125851" w:rsidR="0027400F" w:rsidRDefault="0027400F" w:rsidP="0003512A">
      <w:pPr>
        <w:pStyle w:val="PargrafodaLista"/>
        <w:ind w:left="0"/>
        <w:contextualSpacing w:val="0"/>
      </w:pPr>
      <w:r>
        <w:t>Resulta, pois, razoavelmente fundamentada a respectiva exasperação.</w:t>
      </w:r>
    </w:p>
    <w:p w14:paraId="64FFE0CC" w14:textId="3DF7AB8B" w:rsidR="00931DC4" w:rsidRPr="00A73AD3" w:rsidRDefault="00EE1363" w:rsidP="0003512A">
      <w:pPr>
        <w:pStyle w:val="PargrafodaLista"/>
        <w:ind w:left="0"/>
        <w:contextualSpacing w:val="0"/>
        <w:rPr>
          <w:iCs/>
        </w:rPr>
      </w:pPr>
      <w:r>
        <w:t xml:space="preserve">Em relação ao </w:t>
      </w:r>
      <w:r>
        <w:rPr>
          <w:i/>
          <w:iCs/>
        </w:rPr>
        <w:t>quantum</w:t>
      </w:r>
      <w:r>
        <w:rPr>
          <w:iCs/>
        </w:rPr>
        <w:t xml:space="preserve"> de pena atribuído ao vetor</w:t>
      </w:r>
      <w:r w:rsidR="00931DC4" w:rsidRPr="00931DC4">
        <w:t xml:space="preserve">, o legislador instituiu, por meio do artigo 42 da Lei n.º 11.343 de 2006, que, na fixação das penas, o juiz considerará a natureza e a quantidade da substância ou do produto com preponderância sobre as circunstâncias judiciais previstas no artigo 59 do Código Penal. O </w:t>
      </w:r>
      <w:r w:rsidR="00931DC4" w:rsidRPr="00931DC4">
        <w:rPr>
          <w:i/>
          <w:iCs/>
        </w:rPr>
        <w:t>quantum</w:t>
      </w:r>
      <w:r w:rsidR="00931DC4" w:rsidRPr="00931DC4">
        <w:t xml:space="preserve"> atribuído a esta circunstância judicial pela decisão rescindenda está em perfeita sintonia com este comando legal de preponderância.</w:t>
      </w:r>
      <w:r w:rsidR="00931DC4" w:rsidRPr="007C41B7">
        <w:t>de Drogas, que o juiz, na fixação das penas, considerará, com preponderância sobre o previsto no artigo 59 do Código Penal, a natureza e a quantidade da substância ou do produto. O quantum atribuído a esta circunstância judicial pela decisão rescindenda está em perfeita sintonia com este comando legal de preponderância.</w:t>
      </w:r>
    </w:p>
    <w:p w14:paraId="1AE6FA11" w14:textId="41B70F89" w:rsidR="00EE1363" w:rsidRDefault="00A73AD3" w:rsidP="0003512A">
      <w:pPr>
        <w:pStyle w:val="PargrafodaLista"/>
        <w:ind w:left="0"/>
        <w:contextualSpacing w:val="0"/>
        <w:rPr>
          <w:iCs/>
        </w:rPr>
      </w:pPr>
      <w:r>
        <w:rPr>
          <w:iCs/>
        </w:rPr>
        <w:t>Assim, a</w:t>
      </w:r>
      <w:r w:rsidR="00194BB2">
        <w:rPr>
          <w:iCs/>
        </w:rPr>
        <w:t xml:space="preserve"> quantificação realizada constitui expressão da discricionariedade motivada, consectário </w:t>
      </w:r>
      <w:r w:rsidR="00CF3F51">
        <w:rPr>
          <w:iCs/>
        </w:rPr>
        <w:t>do princípio da persuasão racional, validado pelo Superior Tribunal de Justiça como método hermenêutico de individualização da pena.</w:t>
      </w:r>
    </w:p>
    <w:p w14:paraId="6F7F88E4" w14:textId="43ED0E7E" w:rsidR="00CF3F51" w:rsidRDefault="00CF3F51" w:rsidP="0003512A">
      <w:pPr>
        <w:pStyle w:val="PargrafodaLista"/>
        <w:ind w:left="0"/>
        <w:contextualSpacing w:val="0"/>
        <w:rPr>
          <w:iCs/>
        </w:rPr>
      </w:pPr>
      <w:r>
        <w:rPr>
          <w:iCs/>
        </w:rPr>
        <w:t>Transcreve-se a jurisprudência pertinente:</w:t>
      </w:r>
    </w:p>
    <w:p w14:paraId="735F62AC" w14:textId="77777777" w:rsidR="00CF3F51" w:rsidRDefault="00CF3F51" w:rsidP="0003512A">
      <w:pPr>
        <w:pStyle w:val="PargrafodaLista"/>
        <w:ind w:left="0"/>
        <w:contextualSpacing w:val="0"/>
        <w:rPr>
          <w:iCs/>
        </w:rPr>
      </w:pPr>
    </w:p>
    <w:p w14:paraId="05B72E6C" w14:textId="5F48A110" w:rsidR="003B0E95" w:rsidRDefault="00E315D0" w:rsidP="00D87669">
      <w:pPr>
        <w:pStyle w:val="PargrafodaLista"/>
        <w:ind w:left="2268" w:firstLine="0"/>
        <w:contextualSpacing w:val="0"/>
        <w:rPr>
          <w:iCs/>
          <w:sz w:val="20"/>
          <w:szCs w:val="18"/>
        </w:rPr>
      </w:pPr>
      <w:r w:rsidRPr="00CF3F51">
        <w:rPr>
          <w:iCs/>
          <w:sz w:val="20"/>
          <w:szCs w:val="18"/>
        </w:rPr>
        <w:t>DIREITO PENAL. AGRAVO EM RECURSO ESPECIAL. DOSIMETRIA DA PENA. TRÁFICO DE DROGAS. RECURSO DESPROVIDO.</w:t>
      </w:r>
      <w:r w:rsidR="00CF3F51">
        <w:rPr>
          <w:iCs/>
          <w:sz w:val="20"/>
          <w:szCs w:val="18"/>
        </w:rPr>
        <w:t xml:space="preserve"> </w:t>
      </w:r>
      <w:r w:rsidRPr="00CF3F51">
        <w:rPr>
          <w:iCs/>
          <w:sz w:val="20"/>
          <w:szCs w:val="18"/>
        </w:rPr>
        <w:t>I. Caso em exame</w:t>
      </w:r>
      <w:r w:rsidR="00CF3F51">
        <w:rPr>
          <w:iCs/>
          <w:sz w:val="20"/>
          <w:szCs w:val="18"/>
        </w:rPr>
        <w:t xml:space="preserve"> </w:t>
      </w:r>
      <w:r w:rsidRPr="00CF3F51">
        <w:rPr>
          <w:iCs/>
          <w:sz w:val="20"/>
          <w:szCs w:val="18"/>
        </w:rPr>
        <w:t>1. Agravo em recurso especial interposto contra decisão que inadmitiu recurso especial, o qual alegava violação ao art. 59 do Código Penal, em razão de majoração excessiva da pena-base por tráfico transnacional de drogas.</w:t>
      </w:r>
      <w:r w:rsidR="00CF3F51">
        <w:rPr>
          <w:iCs/>
          <w:sz w:val="20"/>
          <w:szCs w:val="18"/>
        </w:rPr>
        <w:t xml:space="preserve"> </w:t>
      </w:r>
      <w:r w:rsidRPr="00CF3F51">
        <w:rPr>
          <w:iCs/>
          <w:sz w:val="20"/>
          <w:szCs w:val="18"/>
        </w:rPr>
        <w:t>2. O Tribunal de origem reduziu a pena-base, retirando a circunstância referente ao uso de veículo roubado, mas manteve a majoração com base na quantidade e natureza das drogas apreendidas.</w:t>
      </w:r>
      <w:r w:rsidR="00CF3F51">
        <w:rPr>
          <w:iCs/>
          <w:sz w:val="20"/>
          <w:szCs w:val="18"/>
        </w:rPr>
        <w:t xml:space="preserve"> </w:t>
      </w:r>
      <w:r w:rsidRPr="00CF3F51">
        <w:rPr>
          <w:iCs/>
          <w:sz w:val="20"/>
          <w:szCs w:val="18"/>
        </w:rPr>
        <w:t>II. Questão em discussão</w:t>
      </w:r>
      <w:r w:rsidR="00CF3F51">
        <w:rPr>
          <w:iCs/>
          <w:sz w:val="20"/>
          <w:szCs w:val="18"/>
        </w:rPr>
        <w:t xml:space="preserve"> </w:t>
      </w:r>
      <w:r w:rsidRPr="00CF3F51">
        <w:rPr>
          <w:iCs/>
          <w:sz w:val="20"/>
          <w:szCs w:val="18"/>
        </w:rPr>
        <w:t>3. A questão em discussão consiste em saber se a fração de aumento da pena-base, em razão da quantidade e natureza das drogas, foi aplicada de forma desproporcional, contrariando a jurisprudência que adota a fração de 1/6 sobre a pena mínima para cada circunstância judicial negativa.</w:t>
      </w:r>
      <w:r w:rsidR="00CF3F51">
        <w:rPr>
          <w:iCs/>
          <w:sz w:val="20"/>
          <w:szCs w:val="18"/>
        </w:rPr>
        <w:t xml:space="preserve"> </w:t>
      </w:r>
      <w:r w:rsidRPr="00CF3F51">
        <w:rPr>
          <w:iCs/>
          <w:sz w:val="20"/>
          <w:szCs w:val="18"/>
        </w:rPr>
        <w:t>III. Razões de decidir</w:t>
      </w:r>
      <w:r w:rsidR="00CF3F51">
        <w:rPr>
          <w:iCs/>
          <w:sz w:val="20"/>
          <w:szCs w:val="18"/>
        </w:rPr>
        <w:t xml:space="preserve"> </w:t>
      </w:r>
      <w:r w:rsidRPr="00CF3F51">
        <w:rPr>
          <w:iCs/>
          <w:sz w:val="20"/>
          <w:szCs w:val="18"/>
        </w:rPr>
        <w:t>4. A dosimetria da pena é atividade discricionária do julgador, devendo ser revisada apenas em casos de evidente desproporcionalidade entre o delito e a pena imposta.</w:t>
      </w:r>
      <w:r w:rsidR="00CF3F51">
        <w:rPr>
          <w:iCs/>
          <w:sz w:val="20"/>
          <w:szCs w:val="18"/>
        </w:rPr>
        <w:t xml:space="preserve"> </w:t>
      </w:r>
      <w:r w:rsidRPr="00CF3F51">
        <w:rPr>
          <w:iCs/>
          <w:sz w:val="20"/>
          <w:szCs w:val="18"/>
        </w:rPr>
        <w:t>5. A fração de aumento da pena-base foi justificada pela elevada quantidade e variedade de drogas (11,8 quilogramas de maconha e 1, 486 quilograma de pasta base de cocaína), estando em conformidade com a gravidade concreta da conduta e a individualização da pena.</w:t>
      </w:r>
      <w:r w:rsidR="00CF3F51">
        <w:rPr>
          <w:iCs/>
          <w:sz w:val="20"/>
          <w:szCs w:val="18"/>
        </w:rPr>
        <w:t xml:space="preserve"> </w:t>
      </w:r>
      <w:r w:rsidRPr="00CF3F51">
        <w:rPr>
          <w:iCs/>
          <w:sz w:val="20"/>
          <w:szCs w:val="18"/>
        </w:rPr>
        <w:t>6. A jurisprudência do Superior Tribunal de Justiça vincula o julgador à discricionariedade motivada na dosimetria da pena, cabendo controle apenas nas hipóteses de ilegalidade flagrante, o que não se verifica no caso.</w:t>
      </w:r>
      <w:r w:rsidR="00CF3F51">
        <w:rPr>
          <w:iCs/>
          <w:sz w:val="20"/>
          <w:szCs w:val="18"/>
        </w:rPr>
        <w:t xml:space="preserve"> </w:t>
      </w:r>
      <w:r w:rsidRPr="00CF3F51">
        <w:rPr>
          <w:iCs/>
          <w:sz w:val="20"/>
          <w:szCs w:val="18"/>
        </w:rPr>
        <w:t>IV. Dispositivo e tese</w:t>
      </w:r>
      <w:r w:rsidR="00CF3F51">
        <w:rPr>
          <w:iCs/>
          <w:sz w:val="20"/>
          <w:szCs w:val="18"/>
        </w:rPr>
        <w:t xml:space="preserve"> </w:t>
      </w:r>
      <w:r w:rsidRPr="00CF3F51">
        <w:rPr>
          <w:iCs/>
          <w:sz w:val="20"/>
          <w:szCs w:val="18"/>
        </w:rPr>
        <w:t>7. Recurso especial desprovido.</w:t>
      </w:r>
      <w:r w:rsidR="00CF3F51">
        <w:rPr>
          <w:iCs/>
          <w:sz w:val="20"/>
          <w:szCs w:val="18"/>
        </w:rPr>
        <w:t xml:space="preserve"> </w:t>
      </w:r>
      <w:r w:rsidRPr="00CF3F51">
        <w:rPr>
          <w:iCs/>
          <w:sz w:val="20"/>
          <w:szCs w:val="18"/>
        </w:rPr>
        <w:t>Tese de julgamento: "1. A dosimetria da pena é discricionária e deve ser revisada apenas em casos de evidente desproporcionalidade.</w:t>
      </w:r>
      <w:r w:rsidR="00CF3F51">
        <w:rPr>
          <w:iCs/>
          <w:sz w:val="20"/>
          <w:szCs w:val="18"/>
        </w:rPr>
        <w:t xml:space="preserve"> </w:t>
      </w:r>
      <w:r w:rsidRPr="00CF3F51">
        <w:rPr>
          <w:iCs/>
          <w:sz w:val="20"/>
          <w:szCs w:val="18"/>
        </w:rPr>
        <w:t>2. A fração de aumento da pena-base pode ser justificada pela quantidade e natureza das drogas, conforme a gravidade concreta da conduta".</w:t>
      </w:r>
      <w:r w:rsidR="00CF3F51">
        <w:rPr>
          <w:iCs/>
          <w:sz w:val="20"/>
          <w:szCs w:val="18"/>
        </w:rPr>
        <w:t xml:space="preserve"> </w:t>
      </w:r>
      <w:r w:rsidRPr="00CF3F51">
        <w:rPr>
          <w:iCs/>
          <w:sz w:val="20"/>
          <w:szCs w:val="18"/>
        </w:rPr>
        <w:t>Dispositivos relevantes citados: Código Penal, art. 59; Lei 11.343/06, art. 42.</w:t>
      </w:r>
      <w:r w:rsidR="00D87669">
        <w:rPr>
          <w:iCs/>
          <w:sz w:val="20"/>
          <w:szCs w:val="18"/>
        </w:rPr>
        <w:t xml:space="preserve"> </w:t>
      </w:r>
      <w:proofErr w:type="gramStart"/>
      <w:r w:rsidRPr="00CF3F51">
        <w:rPr>
          <w:iCs/>
          <w:sz w:val="20"/>
          <w:szCs w:val="18"/>
        </w:rPr>
        <w:t>Jurisprudência</w:t>
      </w:r>
      <w:proofErr w:type="gramEnd"/>
      <w:r w:rsidRPr="00CF3F51">
        <w:rPr>
          <w:iCs/>
          <w:sz w:val="20"/>
          <w:szCs w:val="18"/>
        </w:rPr>
        <w:t xml:space="preserve"> relevante citada: STJ, AgRg no REsp 143.071/AM, Sexta Turma, Rel. Min. Maria Thereza de Assis Moura, </w:t>
      </w:r>
      <w:proofErr w:type="spellStart"/>
      <w:r w:rsidRPr="00CF3F51">
        <w:rPr>
          <w:iCs/>
          <w:sz w:val="20"/>
          <w:szCs w:val="18"/>
        </w:rPr>
        <w:t>DJe</w:t>
      </w:r>
      <w:proofErr w:type="spellEnd"/>
      <w:r w:rsidRPr="00CF3F51">
        <w:rPr>
          <w:iCs/>
          <w:sz w:val="20"/>
          <w:szCs w:val="18"/>
        </w:rPr>
        <w:t xml:space="preserve"> 06.05.2015; STJ, AgRg no HC 822.120/SC, Quinta Turma, de minha relatoria, </w:t>
      </w:r>
      <w:proofErr w:type="spellStart"/>
      <w:r w:rsidRPr="00CF3F51">
        <w:rPr>
          <w:iCs/>
          <w:sz w:val="20"/>
          <w:szCs w:val="18"/>
        </w:rPr>
        <w:t>DJe</w:t>
      </w:r>
      <w:proofErr w:type="spellEnd"/>
      <w:r w:rsidRPr="00CF3F51">
        <w:rPr>
          <w:iCs/>
          <w:sz w:val="20"/>
          <w:szCs w:val="18"/>
        </w:rPr>
        <w:t xml:space="preserve"> 31.08.2023; STJ, AgRg no </w:t>
      </w:r>
      <w:proofErr w:type="spellStart"/>
      <w:r w:rsidRPr="00CF3F51">
        <w:rPr>
          <w:iCs/>
          <w:sz w:val="20"/>
          <w:szCs w:val="18"/>
        </w:rPr>
        <w:t>AREsp</w:t>
      </w:r>
      <w:proofErr w:type="spellEnd"/>
      <w:r w:rsidRPr="00CF3F51">
        <w:rPr>
          <w:iCs/>
          <w:sz w:val="20"/>
          <w:szCs w:val="18"/>
        </w:rPr>
        <w:t xml:space="preserve"> 2.359.221/AL, Quinta Turma, Rel. Min. Reynaldo Soares da Fonseca, </w:t>
      </w:r>
      <w:proofErr w:type="spellStart"/>
      <w:r w:rsidRPr="00CF3F51">
        <w:rPr>
          <w:iCs/>
          <w:sz w:val="20"/>
          <w:szCs w:val="18"/>
        </w:rPr>
        <w:t>DJe</w:t>
      </w:r>
      <w:proofErr w:type="spellEnd"/>
      <w:r w:rsidRPr="00CF3F51">
        <w:rPr>
          <w:iCs/>
          <w:sz w:val="20"/>
          <w:szCs w:val="18"/>
        </w:rPr>
        <w:t xml:space="preserve"> 22.08.2023.</w:t>
      </w:r>
      <w:r w:rsidR="00CF3F51">
        <w:rPr>
          <w:iCs/>
          <w:sz w:val="20"/>
          <w:szCs w:val="18"/>
        </w:rPr>
        <w:t xml:space="preserve"> </w:t>
      </w:r>
      <w:r w:rsidRPr="00CF3F51">
        <w:rPr>
          <w:iCs/>
          <w:sz w:val="20"/>
          <w:szCs w:val="18"/>
        </w:rPr>
        <w:t>(</w:t>
      </w:r>
      <w:r w:rsidR="00CF3F51">
        <w:rPr>
          <w:iCs/>
          <w:sz w:val="20"/>
          <w:szCs w:val="18"/>
        </w:rPr>
        <w:t xml:space="preserve">STJ. Quinta Turma. Relator: Ministro </w:t>
      </w:r>
      <w:proofErr w:type="spellStart"/>
      <w:r w:rsidR="00CF3F51">
        <w:rPr>
          <w:iCs/>
          <w:sz w:val="20"/>
          <w:szCs w:val="18"/>
        </w:rPr>
        <w:t>Messod</w:t>
      </w:r>
      <w:proofErr w:type="spellEnd"/>
      <w:r w:rsidR="00CF3F51">
        <w:rPr>
          <w:iCs/>
          <w:sz w:val="20"/>
          <w:szCs w:val="18"/>
        </w:rPr>
        <w:t xml:space="preserve"> Azulay Neto. </w:t>
      </w:r>
      <w:proofErr w:type="spellStart"/>
      <w:r w:rsidRPr="00CF3F51">
        <w:rPr>
          <w:iCs/>
          <w:sz w:val="20"/>
          <w:szCs w:val="18"/>
        </w:rPr>
        <w:t>AREsp</w:t>
      </w:r>
      <w:proofErr w:type="spellEnd"/>
      <w:r w:rsidRPr="00CF3F51">
        <w:rPr>
          <w:iCs/>
          <w:sz w:val="20"/>
          <w:szCs w:val="18"/>
        </w:rPr>
        <w:t xml:space="preserve"> n. 2.902.284/DF</w:t>
      </w:r>
      <w:r w:rsidR="003B0E95">
        <w:rPr>
          <w:iCs/>
          <w:sz w:val="20"/>
          <w:szCs w:val="18"/>
        </w:rPr>
        <w:t>. Data de julgamento: 19-6-2025. Data de publicação: 27-8-2025).</w:t>
      </w:r>
    </w:p>
    <w:p w14:paraId="68199DFA" w14:textId="77777777" w:rsidR="00702EF7" w:rsidRDefault="00702EF7" w:rsidP="0003512A"/>
    <w:p w14:paraId="699445A6" w14:textId="07CE44AB" w:rsidR="005F588A" w:rsidRDefault="00B14F02" w:rsidP="0003512A">
      <w:pPr>
        <w:pStyle w:val="PargrafodaLista"/>
        <w:ind w:left="0"/>
        <w:contextualSpacing w:val="0"/>
      </w:pPr>
      <w:r w:rsidRPr="00B14F02">
        <w:t>A aferição da suposta contrariedade à evidência dos autos</w:t>
      </w:r>
      <w:r w:rsidR="00702EF7">
        <w:t xml:space="preserve"> ou ao texto da lei</w:t>
      </w:r>
      <w:r w:rsidRPr="00B14F02">
        <w:t xml:space="preserve"> pressupõe que a sentença não encontre abrigo em qualquer elemento de prova inserto no caderno processual</w:t>
      </w:r>
      <w:r w:rsidR="00702EF7">
        <w:t xml:space="preserve"> ou </w:t>
      </w:r>
      <w:r w:rsidR="000350E8">
        <w:t>destoe, de maneira evidente, d</w:t>
      </w:r>
      <w:r w:rsidR="00080CA3">
        <w:t>e expressa previsão legal</w:t>
      </w:r>
      <w:r w:rsidRPr="00B14F02">
        <w:t>. Da detida análise dos autos de origem, infere-se</w:t>
      </w:r>
      <w:r w:rsidR="00A73AD3">
        <w:t xml:space="preserve"> que</w:t>
      </w:r>
      <w:r w:rsidRPr="00B14F02">
        <w:t xml:space="preserve"> as balizas sancionatórias repousaram em substancial acervo indiciário e probatório devidamente contraditado</w:t>
      </w:r>
      <w:r w:rsidR="00080CA3">
        <w:t xml:space="preserve"> e razoável fundamentação lógico-jurídica</w:t>
      </w:r>
      <w:r w:rsidR="00D46DBB">
        <w:t>.</w:t>
      </w:r>
    </w:p>
    <w:p w14:paraId="416C767B" w14:textId="3BA968F1" w:rsidR="005F588A" w:rsidRDefault="00B14F02" w:rsidP="0003512A">
      <w:pPr>
        <w:pStyle w:val="PargrafodaLista"/>
        <w:ind w:left="0"/>
        <w:contextualSpacing w:val="0"/>
      </w:pPr>
      <w:r w:rsidRPr="00B14F02">
        <w:t>Ausente, pois, condenação maculada por flagrante ilegalidade, teratologia ou divórcio absoluto das provas, mantém-se hígida a autoridade da coisa julgada</w:t>
      </w:r>
      <w:r w:rsidR="00D46DBB">
        <w:t>.</w:t>
      </w:r>
    </w:p>
    <w:p w14:paraId="16188CFC" w14:textId="77777777" w:rsidR="005F588A" w:rsidRDefault="005F588A" w:rsidP="0003512A">
      <w:pPr>
        <w:pStyle w:val="PargrafodaLista"/>
        <w:ind w:left="0"/>
        <w:contextualSpacing w:val="0"/>
      </w:pPr>
    </w:p>
    <w:p w14:paraId="65EB67A5" w14:textId="7696FD3E" w:rsidR="005F588A" w:rsidRDefault="005F588A" w:rsidP="0003512A">
      <w:pPr>
        <w:pStyle w:val="PargrafodaLista"/>
        <w:ind w:left="0"/>
        <w:contextualSpacing w:val="0"/>
      </w:pPr>
      <w:proofErr w:type="spellStart"/>
      <w:r>
        <w:t>II.III</w:t>
      </w:r>
      <w:proofErr w:type="spellEnd"/>
      <w:r>
        <w:t xml:space="preserve"> – DA CONCLUSÃO</w:t>
      </w:r>
    </w:p>
    <w:p w14:paraId="61D0DB21" w14:textId="5D3F626B" w:rsidR="005F588A" w:rsidRDefault="00B14F02" w:rsidP="0003512A">
      <w:pPr>
        <w:pStyle w:val="PargrafodaLista"/>
        <w:ind w:left="0"/>
        <w:contextualSpacing w:val="0"/>
      </w:pPr>
      <w:r w:rsidRPr="00B14F02">
        <w:t xml:space="preserve">Pela conjugação das premissas alinhavadas, a solução a ser adotada consiste em conhecer e julgar improcedente a revisão criminal ajuizada por </w:t>
      </w:r>
      <w:proofErr w:type="spellStart"/>
      <w:r w:rsidR="00D46DBB">
        <w:t>Nilmarcos</w:t>
      </w:r>
      <w:proofErr w:type="spellEnd"/>
      <w:r w:rsidR="00D46DBB">
        <w:t xml:space="preserve"> do Nascimento da Silva</w:t>
      </w:r>
      <w:r w:rsidRPr="00B14F02">
        <w:t>.</w:t>
      </w:r>
    </w:p>
    <w:p w14:paraId="604A9D15" w14:textId="16F57687" w:rsidR="005F588A" w:rsidRDefault="00B14F02" w:rsidP="0003512A">
      <w:pPr>
        <w:pStyle w:val="PargrafodaLista"/>
        <w:ind w:left="0"/>
        <w:contextualSpacing w:val="0"/>
      </w:pPr>
      <w:r w:rsidRPr="00B14F02">
        <w:t>É como voto.</w:t>
      </w:r>
    </w:p>
    <w:p w14:paraId="316E59E6" w14:textId="77777777" w:rsidR="00AA28DF" w:rsidRDefault="00AA28DF" w:rsidP="0003512A">
      <w:pPr>
        <w:pStyle w:val="PargrafodaLista"/>
        <w:ind w:left="0"/>
        <w:contextualSpacing w:val="0"/>
      </w:pPr>
    </w:p>
    <w:p w14:paraId="717BA75D" w14:textId="4D46F71C" w:rsidR="00AA28DF" w:rsidRPr="00AA28DF" w:rsidRDefault="00877419" w:rsidP="0003512A">
      <w:pPr>
        <w:pStyle w:val="PargrafodaLista"/>
        <w:ind w:left="0"/>
        <w:contextualSpacing w:val="0"/>
        <w:rPr>
          <w:b/>
        </w:rPr>
      </w:pPr>
      <w:r>
        <w:rPr>
          <w:b/>
        </w:rPr>
        <w:t xml:space="preserve">III </w:t>
      </w:r>
      <w:r w:rsidR="00372AAB">
        <w:rPr>
          <w:b/>
        </w:rPr>
        <w:t xml:space="preserve">– </w:t>
      </w:r>
      <w:r>
        <w:rPr>
          <w:b/>
        </w:rPr>
        <w:t>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493"/>
    <w:multiLevelType w:val="multilevel"/>
    <w:tmpl w:val="5412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1"/>
  </w:num>
  <w:num w:numId="2" w16cid:durableId="211189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350E8"/>
    <w:rsid w:val="0003512A"/>
    <w:rsid w:val="000537D6"/>
    <w:rsid w:val="00060CA7"/>
    <w:rsid w:val="000645FD"/>
    <w:rsid w:val="0007257A"/>
    <w:rsid w:val="00080CA3"/>
    <w:rsid w:val="000A140F"/>
    <w:rsid w:val="000E6ACE"/>
    <w:rsid w:val="000F2EC4"/>
    <w:rsid w:val="00146748"/>
    <w:rsid w:val="00165C47"/>
    <w:rsid w:val="00190145"/>
    <w:rsid w:val="00194BB2"/>
    <w:rsid w:val="001C2D4C"/>
    <w:rsid w:val="001C4E8D"/>
    <w:rsid w:val="001D6C7F"/>
    <w:rsid w:val="00246AA7"/>
    <w:rsid w:val="00257BD3"/>
    <w:rsid w:val="002648A9"/>
    <w:rsid w:val="00265B6A"/>
    <w:rsid w:val="0027400F"/>
    <w:rsid w:val="00297D6F"/>
    <w:rsid w:val="002D323D"/>
    <w:rsid w:val="00364CFD"/>
    <w:rsid w:val="00372AAB"/>
    <w:rsid w:val="003917F7"/>
    <w:rsid w:val="003B076E"/>
    <w:rsid w:val="003B0E95"/>
    <w:rsid w:val="003C4EE4"/>
    <w:rsid w:val="003D7223"/>
    <w:rsid w:val="003E55F5"/>
    <w:rsid w:val="00416603"/>
    <w:rsid w:val="00454879"/>
    <w:rsid w:val="004B77F2"/>
    <w:rsid w:val="004E3E2C"/>
    <w:rsid w:val="004F4496"/>
    <w:rsid w:val="005063D7"/>
    <w:rsid w:val="00511830"/>
    <w:rsid w:val="00514E34"/>
    <w:rsid w:val="00516879"/>
    <w:rsid w:val="0052508C"/>
    <w:rsid w:val="0055521F"/>
    <w:rsid w:val="00563929"/>
    <w:rsid w:val="005662CA"/>
    <w:rsid w:val="00566EE9"/>
    <w:rsid w:val="00572E8F"/>
    <w:rsid w:val="00587C7B"/>
    <w:rsid w:val="005B4039"/>
    <w:rsid w:val="005C25FF"/>
    <w:rsid w:val="005C2BB2"/>
    <w:rsid w:val="005F588A"/>
    <w:rsid w:val="00614CCF"/>
    <w:rsid w:val="00672942"/>
    <w:rsid w:val="006779FA"/>
    <w:rsid w:val="00680A65"/>
    <w:rsid w:val="00680EA9"/>
    <w:rsid w:val="00683890"/>
    <w:rsid w:val="006A791B"/>
    <w:rsid w:val="006B0357"/>
    <w:rsid w:val="00702EF7"/>
    <w:rsid w:val="00706906"/>
    <w:rsid w:val="00720F7F"/>
    <w:rsid w:val="00770B0F"/>
    <w:rsid w:val="00770F2B"/>
    <w:rsid w:val="00794062"/>
    <w:rsid w:val="007A689E"/>
    <w:rsid w:val="007C36B2"/>
    <w:rsid w:val="007C41B7"/>
    <w:rsid w:val="007C5BD5"/>
    <w:rsid w:val="00804ED2"/>
    <w:rsid w:val="00820F00"/>
    <w:rsid w:val="008666C7"/>
    <w:rsid w:val="00877419"/>
    <w:rsid w:val="008A049A"/>
    <w:rsid w:val="008C7379"/>
    <w:rsid w:val="008D4A94"/>
    <w:rsid w:val="0090778C"/>
    <w:rsid w:val="00931DC4"/>
    <w:rsid w:val="0095576F"/>
    <w:rsid w:val="00973737"/>
    <w:rsid w:val="00981B18"/>
    <w:rsid w:val="00985FD8"/>
    <w:rsid w:val="009D0D3E"/>
    <w:rsid w:val="009D4947"/>
    <w:rsid w:val="009F10FC"/>
    <w:rsid w:val="009F6B5D"/>
    <w:rsid w:val="00A71341"/>
    <w:rsid w:val="00A73AD3"/>
    <w:rsid w:val="00AA28DF"/>
    <w:rsid w:val="00AB02E8"/>
    <w:rsid w:val="00AB32C6"/>
    <w:rsid w:val="00AE152C"/>
    <w:rsid w:val="00AE47D1"/>
    <w:rsid w:val="00AF4456"/>
    <w:rsid w:val="00B03616"/>
    <w:rsid w:val="00B14F02"/>
    <w:rsid w:val="00B51013"/>
    <w:rsid w:val="00B87D5B"/>
    <w:rsid w:val="00B90292"/>
    <w:rsid w:val="00B9301C"/>
    <w:rsid w:val="00BA7E8A"/>
    <w:rsid w:val="00BB0A8D"/>
    <w:rsid w:val="00BB51F2"/>
    <w:rsid w:val="00BC3E6B"/>
    <w:rsid w:val="00BC64BE"/>
    <w:rsid w:val="00C175E9"/>
    <w:rsid w:val="00C342D1"/>
    <w:rsid w:val="00C3622E"/>
    <w:rsid w:val="00C948C2"/>
    <w:rsid w:val="00CA499B"/>
    <w:rsid w:val="00CC17AA"/>
    <w:rsid w:val="00CD49CD"/>
    <w:rsid w:val="00CE2513"/>
    <w:rsid w:val="00CF3F51"/>
    <w:rsid w:val="00D37894"/>
    <w:rsid w:val="00D46DBB"/>
    <w:rsid w:val="00D61848"/>
    <w:rsid w:val="00D63DB6"/>
    <w:rsid w:val="00D6767C"/>
    <w:rsid w:val="00D8137F"/>
    <w:rsid w:val="00D8661F"/>
    <w:rsid w:val="00D87669"/>
    <w:rsid w:val="00DA16BF"/>
    <w:rsid w:val="00DB37F8"/>
    <w:rsid w:val="00DC37B4"/>
    <w:rsid w:val="00E00295"/>
    <w:rsid w:val="00E17DFC"/>
    <w:rsid w:val="00E315D0"/>
    <w:rsid w:val="00E4596F"/>
    <w:rsid w:val="00E82174"/>
    <w:rsid w:val="00E916D6"/>
    <w:rsid w:val="00E93F00"/>
    <w:rsid w:val="00E976A7"/>
    <w:rsid w:val="00EA3C6B"/>
    <w:rsid w:val="00EE1363"/>
    <w:rsid w:val="00EE20D6"/>
    <w:rsid w:val="00F0399D"/>
    <w:rsid w:val="00F241A1"/>
    <w:rsid w:val="00FB709C"/>
    <w:rsid w:val="00FE0C12"/>
    <w:rsid w:val="00FE499A"/>
    <w:rsid w:val="00FF17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Pages>
  <Words>2396</Words>
  <Characters>12942</Characters>
  <Application>Microsoft Office Word</Application>
  <DocSecurity>0</DocSecurity>
  <Lines>107</Lines>
  <Paragraphs>30</Paragraphs>
  <ScaleCrop>false</ScaleCrop>
  <Company>Tribunal de Justiça do Estado do Paraná</Company>
  <LinksUpToDate>false</LinksUpToDate>
  <CharactersWithSpaces>15308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135</cp:revision>
  <cp:lastPrinted>2025-07-11T18:35:00Z</cp:lastPrinted>
  <dcterms:created xsi:type="dcterms:W3CDTF">2024-02-08T17:42:00Z</dcterms:created>
  <dcterms:modified xsi:type="dcterms:W3CDTF">2026-04-08T17:46:00Z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