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23906" w14:textId="1B101F03" w:rsidR="00D23F37" w:rsidRDefault="003A6085" w:rsidP="00783489">
      <w:pPr>
        <w:ind w:firstLine="0"/>
        <w:rPr>
          <w:b/>
        </w:rPr>
      </w:pPr>
      <w:r>
        <w:rPr>
          <w:b/>
        </w:rPr>
        <w:t xml:space="preserve">DIREITO PENAL E PROCESSUAL PENAL. </w:t>
      </w:r>
      <w:r w:rsidR="00783489" w:rsidRPr="00783489">
        <w:rPr>
          <w:b/>
        </w:rPr>
        <w:t>REVISÃO CRIMINAL. LATROCÍNIO</w:t>
      </w:r>
      <w:r>
        <w:rPr>
          <w:b/>
        </w:rPr>
        <w:t>.</w:t>
      </w:r>
      <w:r w:rsidR="00783489" w:rsidRPr="00783489">
        <w:rPr>
          <w:b/>
        </w:rPr>
        <w:t xml:space="preserve"> POSSE IRREGULAR DE </w:t>
      </w:r>
      <w:r>
        <w:rPr>
          <w:b/>
        </w:rPr>
        <w:t>ARMA</w:t>
      </w:r>
      <w:r w:rsidR="004938EB">
        <w:rPr>
          <w:b/>
        </w:rPr>
        <w:t xml:space="preserve"> DE FOGO E </w:t>
      </w:r>
      <w:r w:rsidR="00B70039">
        <w:rPr>
          <w:b/>
        </w:rPr>
        <w:t>MUNIÇÕES</w:t>
      </w:r>
      <w:r w:rsidR="004938EB">
        <w:rPr>
          <w:b/>
        </w:rPr>
        <w:t>. JUÍZO DE ADMISSIBILIDADE. TEORIA DA ASS</w:t>
      </w:r>
      <w:r w:rsidR="00953E4F">
        <w:rPr>
          <w:b/>
        </w:rPr>
        <w:t>E</w:t>
      </w:r>
      <w:r w:rsidR="004938EB">
        <w:rPr>
          <w:b/>
        </w:rPr>
        <w:t xml:space="preserve">RÇÃO. </w:t>
      </w:r>
      <w:r w:rsidR="00D23F37">
        <w:rPr>
          <w:b/>
        </w:rPr>
        <w:t xml:space="preserve">PRETENSÃO DE REEXAME DO CONJUNTO FÁTICO E PROBATÓRIO. SUCEDÂNEO RECURSAL. </w:t>
      </w:r>
    </w:p>
    <w:p w14:paraId="32C26723" w14:textId="33C119A9" w:rsidR="00783489" w:rsidRPr="00783489" w:rsidRDefault="00783489" w:rsidP="00783489">
      <w:pPr>
        <w:ind w:firstLine="0"/>
        <w:rPr>
          <w:b/>
        </w:rPr>
      </w:pPr>
      <w:r w:rsidRPr="00783489">
        <w:rPr>
          <w:b/>
        </w:rPr>
        <w:t>I. CASO EM EXAME</w:t>
      </w:r>
    </w:p>
    <w:p w14:paraId="66FB6C40" w14:textId="3126D44D" w:rsidR="00783489" w:rsidRPr="00783489" w:rsidRDefault="00783489" w:rsidP="00783489">
      <w:pPr>
        <w:ind w:firstLine="0"/>
        <w:rPr>
          <w:b/>
        </w:rPr>
      </w:pPr>
      <w:r w:rsidRPr="00783489">
        <w:rPr>
          <w:b/>
        </w:rPr>
        <w:t xml:space="preserve">Revisão criminal ajuizada contra decisão condenatória transitada em julgado que impôs ao requerente a pena de 18 anos, 06 meses e 10 dias de reclusão, em regime inicial fechado, pela prática dos crimes de latrocínio tentado e posse irregular de </w:t>
      </w:r>
      <w:r w:rsidR="003A6085">
        <w:rPr>
          <w:b/>
        </w:rPr>
        <w:t>arma de fogo</w:t>
      </w:r>
      <w:r w:rsidR="004938EB">
        <w:rPr>
          <w:b/>
        </w:rPr>
        <w:t xml:space="preserve"> e muniç</w:t>
      </w:r>
      <w:r w:rsidR="00B70039">
        <w:rPr>
          <w:b/>
        </w:rPr>
        <w:t>ões</w:t>
      </w:r>
      <w:r w:rsidRPr="00783489">
        <w:rPr>
          <w:b/>
        </w:rPr>
        <w:t>. A defesa pugna pela desconstituição da coisa julgada, alegando nulidade no reconhecimento fotográfico, desclassificação do crime patrimonial por ausência de intenção de matar, incidência do princípio da consunção e redimensionamento da reprimenda imposta.</w:t>
      </w:r>
    </w:p>
    <w:p w14:paraId="5674C3FB" w14:textId="77777777" w:rsidR="00783489" w:rsidRDefault="00783489" w:rsidP="00783489">
      <w:pPr>
        <w:ind w:firstLine="0"/>
        <w:rPr>
          <w:b/>
        </w:rPr>
      </w:pPr>
      <w:r w:rsidRPr="00783489">
        <w:rPr>
          <w:b/>
        </w:rPr>
        <w:t>II. QUESTÃO EM DISCUSSÃO</w:t>
      </w:r>
    </w:p>
    <w:p w14:paraId="7733BC56" w14:textId="4C0E5882" w:rsidR="00B636A7" w:rsidRDefault="00B636A7" w:rsidP="00783489">
      <w:pPr>
        <w:ind w:firstLine="0"/>
        <w:rPr>
          <w:b/>
        </w:rPr>
      </w:pPr>
      <w:r>
        <w:rPr>
          <w:b/>
        </w:rPr>
        <w:t>II.I. Exame de admissibilidade da revisão criminal.</w:t>
      </w:r>
    </w:p>
    <w:p w14:paraId="588F458E" w14:textId="1B3804FE" w:rsidR="00783489" w:rsidRPr="00783489" w:rsidRDefault="00B636A7" w:rsidP="00D9696D">
      <w:pPr>
        <w:ind w:firstLine="0"/>
        <w:rPr>
          <w:b/>
        </w:rPr>
      </w:pPr>
      <w:r>
        <w:rPr>
          <w:b/>
        </w:rPr>
        <w:t xml:space="preserve">II.II. </w:t>
      </w:r>
      <w:r w:rsidR="00D9696D">
        <w:rPr>
          <w:b/>
        </w:rPr>
        <w:t xml:space="preserve">Avaliar se </w:t>
      </w:r>
      <w:r w:rsidR="00783489" w:rsidRPr="00783489">
        <w:rPr>
          <w:b/>
        </w:rPr>
        <w:t>os fundamentos apresentados caracterizam a hipótese de decisão contrária ao texto expresso da lei ou à evidência dos autos, ou se configuram indevida utilização da via revisional como sucedâneo recursal para o reexame de provas.</w:t>
      </w:r>
    </w:p>
    <w:p w14:paraId="0B6C3C78" w14:textId="77777777" w:rsidR="00783489" w:rsidRPr="00783489" w:rsidRDefault="00783489" w:rsidP="00783489">
      <w:pPr>
        <w:ind w:firstLine="0"/>
        <w:rPr>
          <w:b/>
        </w:rPr>
      </w:pPr>
      <w:r w:rsidRPr="00783489">
        <w:rPr>
          <w:b/>
        </w:rPr>
        <w:t>III. RAZÕES DE DECIDIR</w:t>
      </w:r>
    </w:p>
    <w:p w14:paraId="52587FF0" w14:textId="1050540A" w:rsidR="00783489" w:rsidRPr="00783489" w:rsidRDefault="00421933" w:rsidP="00783489">
      <w:pPr>
        <w:ind w:firstLine="0"/>
        <w:rPr>
          <w:b/>
        </w:rPr>
      </w:pPr>
      <w:r>
        <w:rPr>
          <w:b/>
        </w:rPr>
        <w:t>III.I.</w:t>
      </w:r>
      <w:r w:rsidR="00783489" w:rsidRPr="00783489">
        <w:rPr>
          <w:b/>
        </w:rPr>
        <w:t xml:space="preserve"> </w:t>
      </w:r>
      <w:r w:rsidR="005455E2">
        <w:rPr>
          <w:b/>
        </w:rPr>
        <w:t>O interesse processual para a revisão criminal</w:t>
      </w:r>
      <w:r w:rsidR="00CD5E41">
        <w:rPr>
          <w:b/>
        </w:rPr>
        <w:t xml:space="preserve">, fundamentada na hipótese do artigo </w:t>
      </w:r>
      <w:r w:rsidR="00783489" w:rsidRPr="00783489">
        <w:rPr>
          <w:b/>
        </w:rPr>
        <w:t>621, inciso I, do Código de Processo Penal</w:t>
      </w:r>
      <w:r w:rsidR="00CD5E41">
        <w:rPr>
          <w:b/>
        </w:rPr>
        <w:t>, deve ser aferido à luz da teoria da asserção, segundo as afirmações contidas na petição inicial</w:t>
      </w:r>
      <w:r w:rsidR="000A7DC7">
        <w:rPr>
          <w:b/>
        </w:rPr>
        <w:t>.</w:t>
      </w:r>
    </w:p>
    <w:p w14:paraId="68CB77B5" w14:textId="4886A912" w:rsidR="00DB63FD" w:rsidRDefault="00421933" w:rsidP="00783489">
      <w:pPr>
        <w:ind w:firstLine="0"/>
        <w:rPr>
          <w:b/>
          <w:szCs w:val="24"/>
        </w:rPr>
      </w:pPr>
      <w:r>
        <w:rPr>
          <w:b/>
        </w:rPr>
        <w:t>III.II</w:t>
      </w:r>
      <w:r w:rsidR="000A7DC7">
        <w:rPr>
          <w:b/>
        </w:rPr>
        <w:t xml:space="preserve">. </w:t>
      </w:r>
      <w:r w:rsidR="00DB63FD">
        <w:rPr>
          <w:b/>
          <w:szCs w:val="24"/>
        </w:rPr>
        <w:t xml:space="preserve">A pretensão de reexame do conjunto fático-probatório, </w:t>
      </w:r>
      <w:r w:rsidR="00DB63FD">
        <w:rPr>
          <w:b/>
          <w:szCs w:val="24"/>
        </w:rPr>
        <w:t xml:space="preserve">sem efetiva demonstração de contrariedade </w:t>
      </w:r>
      <w:r w:rsidR="00BA072C">
        <w:rPr>
          <w:b/>
          <w:szCs w:val="24"/>
        </w:rPr>
        <w:t>à evidência do</w:t>
      </w:r>
      <w:r w:rsidR="004938EB">
        <w:rPr>
          <w:b/>
          <w:szCs w:val="24"/>
        </w:rPr>
        <w:t>s</w:t>
      </w:r>
      <w:r w:rsidR="00BA072C">
        <w:rPr>
          <w:b/>
          <w:szCs w:val="24"/>
        </w:rPr>
        <w:t xml:space="preserve"> autos ou ao texto expresso de lei, não autoriza a desconstituição da coisa julgada pela revisão criminal.</w:t>
      </w:r>
    </w:p>
    <w:p w14:paraId="7C785AE5" w14:textId="0271F4DD" w:rsidR="00783489" w:rsidRPr="00783489" w:rsidRDefault="00783489" w:rsidP="00783489">
      <w:pPr>
        <w:ind w:firstLine="0"/>
        <w:rPr>
          <w:b/>
        </w:rPr>
      </w:pPr>
      <w:r w:rsidRPr="00783489">
        <w:rPr>
          <w:b/>
        </w:rPr>
        <w:t>IV. SOLUÇÃO DO CASO</w:t>
      </w:r>
    </w:p>
    <w:p w14:paraId="30441022" w14:textId="4270D62C" w:rsidR="00783489" w:rsidRPr="00783489" w:rsidRDefault="00783489" w:rsidP="00783489">
      <w:pPr>
        <w:ind w:firstLine="0"/>
        <w:rPr>
          <w:b/>
        </w:rPr>
      </w:pPr>
      <w:r w:rsidRPr="00783489">
        <w:rPr>
          <w:b/>
        </w:rPr>
        <w:t>Ação de revisão criminal conhecida e julgada improcedente.</w:t>
      </w:r>
    </w:p>
    <w:p w14:paraId="3E2BB574" w14:textId="77777777" w:rsidR="00783489" w:rsidRPr="00783489" w:rsidRDefault="00783489" w:rsidP="00783489">
      <w:pPr>
        <w:ind w:firstLine="0"/>
        <w:rPr>
          <w:b/>
        </w:rPr>
      </w:pPr>
      <w:r w:rsidRPr="00783489">
        <w:rPr>
          <w:b/>
        </w:rPr>
        <w:t>V. LEGISLAÇÃO E JURISPRUDÊNCIA UTILIZADAS</w:t>
      </w:r>
    </w:p>
    <w:p w14:paraId="2DDCF976" w14:textId="77777777" w:rsidR="00783489" w:rsidRPr="00783489" w:rsidRDefault="00783489" w:rsidP="00783489">
      <w:pPr>
        <w:ind w:firstLine="0"/>
        <w:rPr>
          <w:b/>
        </w:rPr>
      </w:pPr>
      <w:r w:rsidRPr="00783489">
        <w:rPr>
          <w:b/>
        </w:rPr>
        <w:t>V.I. LEGISLAÇÃO</w:t>
      </w:r>
    </w:p>
    <w:p w14:paraId="115AE0F0" w14:textId="58FCB304" w:rsidR="00783489" w:rsidRPr="00783489" w:rsidRDefault="00606313" w:rsidP="00783489">
      <w:pPr>
        <w:ind w:firstLine="0"/>
        <w:rPr>
          <w:b/>
        </w:rPr>
      </w:pPr>
      <w:r>
        <w:rPr>
          <w:b/>
        </w:rPr>
        <w:t xml:space="preserve">CPP: art. </w:t>
      </w:r>
      <w:r w:rsidR="00421933">
        <w:rPr>
          <w:b/>
        </w:rPr>
        <w:t>621, I e III.</w:t>
      </w:r>
    </w:p>
    <w:p w14:paraId="66740C16" w14:textId="77777777" w:rsidR="00783489" w:rsidRDefault="00783489" w:rsidP="00783489">
      <w:pPr>
        <w:ind w:firstLine="0"/>
        <w:rPr>
          <w:b/>
        </w:rPr>
      </w:pPr>
      <w:r w:rsidRPr="00783489">
        <w:rPr>
          <w:b/>
        </w:rPr>
        <w:t>V.II. JURISPRUDÊNCIA</w:t>
      </w:r>
    </w:p>
    <w:p w14:paraId="52861801" w14:textId="20862762" w:rsidR="00606313" w:rsidRPr="00606313" w:rsidRDefault="00606313" w:rsidP="00783489">
      <w:pPr>
        <w:ind w:firstLine="0"/>
        <w:rPr>
          <w:b/>
          <w:bCs/>
          <w:sz w:val="32"/>
          <w:szCs w:val="28"/>
        </w:rPr>
      </w:pPr>
      <w:r w:rsidRPr="00606313">
        <w:rPr>
          <w:b/>
          <w:bCs/>
        </w:rPr>
        <w:t>TJPR. 16ª Câmara Cível. Relatora: Desembargadora Substituta Vania Maria da Silva Kramer. 0113746-48.2025.8.16.0000. Arapongas. Data de julgamento: 16-3-2026</w:t>
      </w:r>
      <w:r w:rsidRPr="00606313">
        <w:rPr>
          <w:b/>
          <w:bCs/>
        </w:rPr>
        <w:t>;</w:t>
      </w:r>
    </w:p>
    <w:p w14:paraId="486B13B9" w14:textId="55A19977" w:rsidR="00606313" w:rsidRPr="00606313" w:rsidRDefault="00606313" w:rsidP="00146748">
      <w:pPr>
        <w:ind w:firstLine="0"/>
        <w:rPr>
          <w:b/>
          <w:bCs/>
        </w:rPr>
      </w:pPr>
      <w:r w:rsidRPr="00606313">
        <w:rPr>
          <w:b/>
          <w:bCs/>
        </w:rPr>
        <w:t xml:space="preserve">STF. Tribunal Pleno. Relator: Ministro Edson Fachin. </w:t>
      </w:r>
      <w:proofErr w:type="spellStart"/>
      <w:r w:rsidRPr="00606313">
        <w:rPr>
          <w:b/>
          <w:bCs/>
        </w:rPr>
        <w:t>RvC</w:t>
      </w:r>
      <w:proofErr w:type="spellEnd"/>
      <w:r w:rsidRPr="00606313">
        <w:rPr>
          <w:b/>
          <w:bCs/>
        </w:rPr>
        <w:t xml:space="preserve"> 5475 AM. 0081195-88.2018.1.00.0000. Data de Julgamento: 6-11-2019. Data de Publicação: 15-4-2020</w:t>
      </w:r>
      <w:r w:rsidRPr="00606313">
        <w:rPr>
          <w:b/>
          <w:bCs/>
        </w:rPr>
        <w:t>;</w:t>
      </w:r>
    </w:p>
    <w:p w14:paraId="4A7371D5" w14:textId="33895348" w:rsidR="00783489" w:rsidRPr="00606313" w:rsidRDefault="00606313" w:rsidP="00146748">
      <w:pPr>
        <w:ind w:firstLine="0"/>
        <w:rPr>
          <w:b/>
          <w:bCs/>
          <w:sz w:val="32"/>
          <w:szCs w:val="28"/>
        </w:rPr>
      </w:pPr>
      <w:r w:rsidRPr="00606313">
        <w:rPr>
          <w:b/>
          <w:bCs/>
        </w:rPr>
        <w:t xml:space="preserve">STJ. Terceira Seção. Relator: Ministro Ribeiro Dantas. AgRg na </w:t>
      </w:r>
      <w:proofErr w:type="spellStart"/>
      <w:r w:rsidRPr="00606313">
        <w:rPr>
          <w:b/>
          <w:bCs/>
        </w:rPr>
        <w:t>RvCr</w:t>
      </w:r>
      <w:proofErr w:type="spellEnd"/>
      <w:r w:rsidRPr="00606313">
        <w:rPr>
          <w:b/>
          <w:bCs/>
        </w:rPr>
        <w:t xml:space="preserve"> n. 5.735/DF. Data de Julgamento: 11-5-2022. Data de Publicação: 16-5-2022</w:t>
      </w:r>
      <w:r w:rsidRPr="00606313">
        <w:rPr>
          <w:b/>
          <w:bCs/>
        </w:rPr>
        <w:t>.</w:t>
      </w:r>
    </w:p>
    <w:p w14:paraId="1E7C41E9" w14:textId="77777777" w:rsidR="00606313" w:rsidRDefault="00606313" w:rsidP="00783489">
      <w:pPr>
        <w:pStyle w:val="PargrafodaLista"/>
        <w:ind w:left="0"/>
        <w:contextualSpacing w:val="0"/>
        <w:rPr>
          <w:b/>
        </w:rPr>
      </w:pPr>
    </w:p>
    <w:p w14:paraId="3277CDCB" w14:textId="77777777" w:rsidR="00783489" w:rsidRDefault="00AA28DF" w:rsidP="00783489">
      <w:pPr>
        <w:pStyle w:val="PargrafodaLista"/>
        <w:ind w:left="0"/>
        <w:contextualSpacing w:val="0"/>
        <w:rPr>
          <w:b/>
        </w:rPr>
      </w:pPr>
      <w:r>
        <w:rPr>
          <w:b/>
        </w:rPr>
        <w:t>I – RELATÓRIO</w:t>
      </w:r>
    </w:p>
    <w:p w14:paraId="77D8F25A" w14:textId="7C7C81EB" w:rsidR="00783489" w:rsidRDefault="00783489" w:rsidP="00783489">
      <w:pPr>
        <w:pStyle w:val="PargrafodaLista"/>
        <w:ind w:left="0"/>
        <w:contextualSpacing w:val="0"/>
      </w:pPr>
      <w:r>
        <w:t>Trata-se de revisão criminal ajuizada por Hugo Leonardo Mira de Oliveira em face do Ministério Público do Estado do Paraná, impugnando a sentença, transitada em julgado, proferida pelo juízo da Vara Criminal da Comarca de Cianorte (autos nº 0000867-56.2023.8.16.0069), mantida em grau recursal, que o condenou pela prática dos crimes de latrocínio tentado e posse irregular de</w:t>
      </w:r>
      <w:r w:rsidR="00B70039">
        <w:t xml:space="preserve"> arma de fogo e</w:t>
      </w:r>
      <w:r>
        <w:t xml:space="preserve"> munições à pena definitiva de 18 (dezoito) anos, 06 (seis) meses e 10 (dez) dias de reclusão, em regime inicial fechado.</w:t>
      </w:r>
    </w:p>
    <w:p w14:paraId="4B2A9D6B" w14:textId="77777777" w:rsidR="00660C1A" w:rsidRDefault="00783489" w:rsidP="00660C1A">
      <w:pPr>
        <w:pStyle w:val="PargrafodaLista"/>
        <w:ind w:left="0"/>
        <w:contextualSpacing w:val="0"/>
      </w:pPr>
      <w:r>
        <w:t>Em suas razões, a parte requerente pugna pela desconstituição do julgado sob o argumento de que a condenação é contrária à evidência dos autos e ao texto expresso da lei. Aponta a nulidade do reconhecimento fotográfico por suposta inobservância das formalidades legais. Requer a desclassificação do crime de latrocínio tentado, argumentando que o depoimento das vítimas comprova a ausência de animus necandi. Pugna pela aplicação do princípio da consunção entre os delitos. Subsidiariamente, pleiteia o ajuste na dosimetria da pena para afastar a valoração negativa da culpabilidade e para a incidência da fração máxima de diminuição decorrente da tentativa</w:t>
      </w:r>
      <w:r w:rsidR="00660C1A">
        <w:t xml:space="preserve"> (evento 1.1).</w:t>
      </w:r>
    </w:p>
    <w:p w14:paraId="39696467" w14:textId="74E81AD6" w:rsidR="003701DD" w:rsidRPr="00E87D19" w:rsidRDefault="00783489" w:rsidP="00E87D19">
      <w:pPr>
        <w:pStyle w:val="PargrafodaLista"/>
        <w:ind w:left="0"/>
        <w:contextualSpacing w:val="0"/>
      </w:pPr>
      <w:r>
        <w:t>A Procuradoria-Geral de Justiça apresentou parecer manifestando-se pelo não conhecimento da revisão criminal, sob o fundamento de que os pleitos traduzem mera tentativa de reexame probatório</w:t>
      </w:r>
      <w:r w:rsidR="00FF157C">
        <w:t xml:space="preserve"> (evento 15.1).</w:t>
      </w:r>
    </w:p>
    <w:p w14:paraId="1769E6BE" w14:textId="7C4DAAC0" w:rsidR="00AA28DF" w:rsidRDefault="00783489" w:rsidP="00783489">
      <w:pPr>
        <w:pStyle w:val="PargrafodaLista"/>
        <w:ind w:left="0"/>
        <w:contextualSpacing w:val="0"/>
      </w:pPr>
      <w:r>
        <w:t>É o necessário relato.</w:t>
      </w:r>
    </w:p>
    <w:p w14:paraId="33CD0BF5" w14:textId="77777777" w:rsidR="00E87D19" w:rsidRDefault="00E87D19" w:rsidP="00877419">
      <w:pPr>
        <w:pStyle w:val="PargrafodaLista"/>
        <w:ind w:left="0"/>
        <w:contextualSpacing w:val="0"/>
        <w:rPr>
          <w:b/>
        </w:rPr>
      </w:pPr>
    </w:p>
    <w:p w14:paraId="54C5CE34" w14:textId="075A71D1" w:rsidR="00AA28DF" w:rsidRPr="00AA28DF" w:rsidRDefault="00AA28DF" w:rsidP="00877419">
      <w:pPr>
        <w:pStyle w:val="PargrafodaLista"/>
        <w:ind w:left="0"/>
        <w:contextualSpacing w:val="0"/>
        <w:rPr>
          <w:b/>
        </w:rPr>
      </w:pPr>
      <w:r w:rsidRPr="00AA28DF">
        <w:rPr>
          <w:b/>
        </w:rPr>
        <w:t>II – VOTO E SUA FUNDAMENTAÇÃO</w:t>
      </w:r>
    </w:p>
    <w:p w14:paraId="107BC940" w14:textId="77777777" w:rsidR="005C6E15" w:rsidRDefault="00AA28DF" w:rsidP="005C6E15">
      <w:pPr>
        <w:pStyle w:val="PargrafodaLista"/>
        <w:ind w:left="0"/>
        <w:contextualSpacing w:val="0"/>
      </w:pPr>
      <w:r>
        <w:t>II.I – DO JUÍZO DE ADMISSIBILIDADE</w:t>
      </w:r>
    </w:p>
    <w:p w14:paraId="14C897F1" w14:textId="77777777" w:rsidR="005C6E15" w:rsidRDefault="00E87D19" w:rsidP="005C6E15">
      <w:pPr>
        <w:pStyle w:val="PargrafodaLista"/>
        <w:ind w:left="0"/>
        <w:contextualSpacing w:val="0"/>
      </w:pPr>
      <w:r>
        <w:t>Embora a Procuradoria-Geral de Justiça tenha opinado pelo não conhecimento da ação autônoma de impugnação, constata-se que a parte requerente ampara o seu pedido nas hipóteses taxativas do artigo 621, incisos I e III, do Código de Processo Penal.</w:t>
      </w:r>
    </w:p>
    <w:p w14:paraId="362DF0CE" w14:textId="77777777" w:rsidR="006072C0" w:rsidRDefault="00E87D19" w:rsidP="006072C0">
      <w:pPr>
        <w:pStyle w:val="PargrafodaLista"/>
        <w:ind w:left="0"/>
        <w:contextualSpacing w:val="0"/>
      </w:pPr>
      <w:r>
        <w:t>A defesa sustenta, ao menos em tese, a incompatibilidade entre a conclusão decisória que transitou em julgado e a prova produzida nos autos, argumentando haver erro judiciário na valoração do reconhecimento fotográfico, na aferição do dolo e nas etapas da dosimetria da pena.</w:t>
      </w:r>
    </w:p>
    <w:p w14:paraId="1083BF31" w14:textId="77777777" w:rsidR="006072C0" w:rsidRDefault="00E87D19" w:rsidP="006072C0">
      <w:pPr>
        <w:pStyle w:val="PargrafodaLista"/>
        <w:ind w:left="0"/>
        <w:contextualSpacing w:val="0"/>
      </w:pPr>
      <w:r>
        <w:t>À luz da teoria da asserção, a verificação das condições da ação deve ser realizada à vista das afirmações deduzidas na petição inicial. Sendo assim, a alegação de que a sentença se encontra dissociada do acervo probatório satisfaz o interesse processual e autoriza o conhecimento da demanda, relegando-se a constatação da efetiva ocorrência</w:t>
      </w:r>
      <w:r w:rsidR="006072C0">
        <w:t xml:space="preserve">, </w:t>
      </w:r>
      <w:r>
        <w:t>ou não</w:t>
      </w:r>
      <w:r w:rsidR="006072C0">
        <w:t>,</w:t>
      </w:r>
      <w:r>
        <w:t xml:space="preserve"> do alegado erro judiciário para a análise de mérito.</w:t>
      </w:r>
    </w:p>
    <w:p w14:paraId="196E1FEB" w14:textId="7079EAE2" w:rsidR="005762D0" w:rsidRDefault="005762D0" w:rsidP="006072C0">
      <w:pPr>
        <w:pStyle w:val="PargrafodaLista"/>
        <w:ind w:left="0"/>
        <w:contextualSpacing w:val="0"/>
      </w:pPr>
      <w:r>
        <w:t>Sobre o tema:</w:t>
      </w:r>
    </w:p>
    <w:p w14:paraId="55015F5D" w14:textId="77777777" w:rsidR="005762D0" w:rsidRDefault="005762D0" w:rsidP="006072C0">
      <w:pPr>
        <w:pStyle w:val="PargrafodaLista"/>
        <w:ind w:left="0"/>
        <w:contextualSpacing w:val="0"/>
      </w:pPr>
    </w:p>
    <w:p w14:paraId="12116F19" w14:textId="04EE246E" w:rsidR="005762D0" w:rsidRDefault="005569D4" w:rsidP="004B194F">
      <w:pPr>
        <w:pStyle w:val="PargrafodaLista"/>
        <w:ind w:left="2268" w:firstLine="0"/>
        <w:contextualSpacing w:val="0"/>
        <w:rPr>
          <w:sz w:val="20"/>
          <w:szCs w:val="18"/>
        </w:rPr>
      </w:pPr>
      <w:r>
        <w:rPr>
          <w:sz w:val="20"/>
          <w:szCs w:val="18"/>
        </w:rPr>
        <w:t>D</w:t>
      </w:r>
      <w:r w:rsidR="005762D0" w:rsidRPr="00D866CC">
        <w:rPr>
          <w:sz w:val="20"/>
          <w:szCs w:val="18"/>
        </w:rPr>
        <w:t>ireito civil e do consumidor. agravo de instrumento. ação declaratória de inexistência de débito c/c repetição e danos morais. ilegitimidade passiva. teoria da asserção. necessidade de instrução probatória. recurso provido.</w:t>
      </w:r>
      <w:r w:rsidR="00D866CC" w:rsidRPr="00D866CC">
        <w:rPr>
          <w:sz w:val="20"/>
          <w:szCs w:val="18"/>
        </w:rPr>
        <w:t xml:space="preserve"> </w:t>
      </w:r>
      <w:r w:rsidR="005762D0" w:rsidRPr="00D866CC">
        <w:rPr>
          <w:sz w:val="20"/>
          <w:szCs w:val="18"/>
        </w:rPr>
        <w:t>I. Caso em exame</w:t>
      </w:r>
      <w:r w:rsidR="00D866CC">
        <w:rPr>
          <w:sz w:val="20"/>
          <w:szCs w:val="18"/>
        </w:rPr>
        <w:t xml:space="preserve"> </w:t>
      </w:r>
      <w:r w:rsidR="005762D0" w:rsidRPr="00D866CC">
        <w:rPr>
          <w:sz w:val="20"/>
          <w:szCs w:val="18"/>
        </w:rPr>
        <w:t xml:space="preserve">1. Agravo de instrumento interposto contra decisão que extinguiu a ação em relação às instituições financeiras Facta Financeira S.A. Financiamento e Investimento e Banco </w:t>
      </w:r>
      <w:proofErr w:type="spellStart"/>
      <w:r w:rsidR="005762D0" w:rsidRPr="00D866CC">
        <w:rPr>
          <w:sz w:val="20"/>
          <w:szCs w:val="18"/>
        </w:rPr>
        <w:t>Inbursa</w:t>
      </w:r>
      <w:proofErr w:type="spellEnd"/>
      <w:r w:rsidR="005762D0" w:rsidRPr="00D866CC">
        <w:rPr>
          <w:sz w:val="20"/>
          <w:szCs w:val="18"/>
        </w:rPr>
        <w:t xml:space="preserve"> S.A., sob o fundamento de ilegitimidade passiva.</w:t>
      </w:r>
      <w:r w:rsidR="00D866CC">
        <w:rPr>
          <w:sz w:val="20"/>
          <w:szCs w:val="18"/>
        </w:rPr>
        <w:t xml:space="preserve"> </w:t>
      </w:r>
      <w:r w:rsidR="005762D0" w:rsidRPr="00D866CC">
        <w:rPr>
          <w:sz w:val="20"/>
          <w:szCs w:val="18"/>
        </w:rPr>
        <w:t>II. Questão em discussão</w:t>
      </w:r>
      <w:r w:rsidR="00D866CC">
        <w:rPr>
          <w:sz w:val="20"/>
          <w:szCs w:val="18"/>
        </w:rPr>
        <w:t xml:space="preserve"> </w:t>
      </w:r>
      <w:r w:rsidR="005762D0" w:rsidRPr="00D866CC">
        <w:rPr>
          <w:sz w:val="20"/>
          <w:szCs w:val="18"/>
        </w:rPr>
        <w:t>2. A questão em discussão consiste em saber se, à luz das alegações formuladas na petição inicial, as instituições financeiras agravadas possuem legitimidade passiva ad causam, aferida segundo a teoria da asserção.</w:t>
      </w:r>
      <w:r w:rsidR="00D866CC">
        <w:rPr>
          <w:sz w:val="20"/>
          <w:szCs w:val="18"/>
        </w:rPr>
        <w:t xml:space="preserve"> </w:t>
      </w:r>
      <w:r w:rsidR="005762D0" w:rsidRPr="00D866CC">
        <w:rPr>
          <w:sz w:val="20"/>
          <w:szCs w:val="18"/>
        </w:rPr>
        <w:t>III. Razões de decidir</w:t>
      </w:r>
      <w:r w:rsidR="00D866CC">
        <w:rPr>
          <w:sz w:val="20"/>
          <w:szCs w:val="18"/>
        </w:rPr>
        <w:t xml:space="preserve"> </w:t>
      </w:r>
      <w:r w:rsidR="005762D0" w:rsidRPr="00D866CC">
        <w:rPr>
          <w:sz w:val="20"/>
          <w:szCs w:val="18"/>
        </w:rPr>
        <w:t xml:space="preserve">3. </w:t>
      </w:r>
      <w:r w:rsidR="005762D0" w:rsidRPr="00D866CC">
        <w:rPr>
          <w:b/>
          <w:bCs/>
          <w:sz w:val="20"/>
          <w:szCs w:val="18"/>
        </w:rPr>
        <w:t>As condições da ação, inclusive a legitimidade passiva ad causam, devem ser aferidas com base nas alegações deduzidas na petição inicial, conforme a teoria da asserção, bastando que, em exame abstrato, seja possível inferir a potencial responsabilidade do demandado pelos fatos narrados.</w:t>
      </w:r>
      <w:r w:rsidR="00D866CC">
        <w:rPr>
          <w:b/>
          <w:bCs/>
          <w:sz w:val="20"/>
          <w:szCs w:val="18"/>
        </w:rPr>
        <w:t xml:space="preserve"> </w:t>
      </w:r>
      <w:r w:rsidR="005762D0" w:rsidRPr="00D866CC">
        <w:rPr>
          <w:sz w:val="20"/>
          <w:szCs w:val="18"/>
        </w:rPr>
        <w:t>4. O Superior Tribunal de Justiça firmou entendimento no sentido de que a legitimidade passiva se verifica a partir das afirmações da inicial, sendo a efetiva responsabilidade matéria de mérito a ser examinada após a instrução processual.</w:t>
      </w:r>
      <w:r w:rsidR="00D866CC">
        <w:rPr>
          <w:sz w:val="20"/>
          <w:szCs w:val="18"/>
        </w:rPr>
        <w:t xml:space="preserve"> </w:t>
      </w:r>
      <w:r w:rsidR="005762D0" w:rsidRPr="00D866CC">
        <w:rPr>
          <w:sz w:val="20"/>
          <w:szCs w:val="18"/>
        </w:rPr>
        <w:t>5. No caso concreto, a narrativa inicial atribui às instituições financeiras suposta falha na prestação de serviços, consubstanciada na viabilização de operações financeiras alegadamente fraudulentas, sem anuência da consumidora, o que, em tese, é suficiente para caracterizar a pertinência subjetiva.</w:t>
      </w:r>
      <w:r w:rsidR="00D866CC">
        <w:rPr>
          <w:sz w:val="20"/>
          <w:szCs w:val="18"/>
        </w:rPr>
        <w:t xml:space="preserve"> </w:t>
      </w:r>
      <w:r w:rsidR="005762D0" w:rsidRPr="00D866CC">
        <w:rPr>
          <w:sz w:val="20"/>
          <w:szCs w:val="18"/>
        </w:rPr>
        <w:t>6. Em relação a uma das instituições, há alegação de depósito identificado em conta bancária da autora, cuja origem e finalidade são desconhecidas, ocorrido em contexto de contratações fraudulentas.</w:t>
      </w:r>
      <w:r w:rsidR="00D866CC">
        <w:rPr>
          <w:sz w:val="20"/>
          <w:szCs w:val="18"/>
        </w:rPr>
        <w:t xml:space="preserve"> </w:t>
      </w:r>
      <w:r w:rsidR="005762D0" w:rsidRPr="00D866CC">
        <w:rPr>
          <w:sz w:val="20"/>
          <w:szCs w:val="18"/>
        </w:rPr>
        <w:t>7. Quanto à outra, aponta-se a existência de empréstimo consignado vinculado à instituição, com extrato acostado à inicial.</w:t>
      </w:r>
      <w:r w:rsidR="00D866CC">
        <w:rPr>
          <w:sz w:val="20"/>
          <w:szCs w:val="18"/>
        </w:rPr>
        <w:t xml:space="preserve"> </w:t>
      </w:r>
      <w:r w:rsidR="005762D0" w:rsidRPr="00D866CC">
        <w:rPr>
          <w:sz w:val="20"/>
          <w:szCs w:val="18"/>
        </w:rPr>
        <w:t>8. A exclusão prematura das rés, antes da instrução, impede a apuração da dinâmica dos fatos, da eventual participação das instituições financeiras e da existência ou não de fortuito interno decorrente de falhas nos mecanismos de segurança.</w:t>
      </w:r>
      <w:r w:rsidR="00D866CC">
        <w:rPr>
          <w:sz w:val="20"/>
          <w:szCs w:val="18"/>
        </w:rPr>
        <w:t xml:space="preserve"> </w:t>
      </w:r>
      <w:r w:rsidR="005762D0" w:rsidRPr="00D866CC">
        <w:rPr>
          <w:sz w:val="20"/>
          <w:szCs w:val="18"/>
        </w:rPr>
        <w:t>IV. Dispositivo</w:t>
      </w:r>
      <w:r w:rsidR="00D866CC">
        <w:rPr>
          <w:sz w:val="20"/>
          <w:szCs w:val="18"/>
        </w:rPr>
        <w:t xml:space="preserve"> </w:t>
      </w:r>
      <w:r w:rsidR="005762D0" w:rsidRPr="00D866CC">
        <w:rPr>
          <w:sz w:val="20"/>
          <w:szCs w:val="18"/>
        </w:rPr>
        <w:t>9. Recurso conhecido e provido para reformar a decisão agravada, reintegrando as instituições financeiras ao polo passivo da ação originária.</w:t>
      </w:r>
      <w:r w:rsidR="004B194F">
        <w:rPr>
          <w:sz w:val="20"/>
          <w:szCs w:val="18"/>
        </w:rPr>
        <w:t xml:space="preserve"> </w:t>
      </w:r>
      <w:r w:rsidR="005762D0" w:rsidRPr="00D866CC">
        <w:rPr>
          <w:sz w:val="20"/>
          <w:szCs w:val="18"/>
        </w:rPr>
        <w:t>(TJPR</w:t>
      </w:r>
      <w:r w:rsidR="004B194F">
        <w:rPr>
          <w:sz w:val="20"/>
          <w:szCs w:val="18"/>
        </w:rPr>
        <w:t xml:space="preserve">. </w:t>
      </w:r>
      <w:r w:rsidR="005762D0" w:rsidRPr="00D866CC">
        <w:rPr>
          <w:sz w:val="20"/>
          <w:szCs w:val="18"/>
        </w:rPr>
        <w:t>16ª Câmara Cível</w:t>
      </w:r>
      <w:r w:rsidR="004B194F">
        <w:rPr>
          <w:sz w:val="20"/>
          <w:szCs w:val="18"/>
        </w:rPr>
        <w:t>. Relatora: Desembargadora Substituta Vania Maria da Silva Kramer.</w:t>
      </w:r>
      <w:r w:rsidR="005762D0" w:rsidRPr="004B194F">
        <w:rPr>
          <w:sz w:val="20"/>
          <w:szCs w:val="18"/>
        </w:rPr>
        <w:t xml:space="preserve"> 0113746-48.2025.8.16.0000</w:t>
      </w:r>
      <w:r w:rsidR="004B194F">
        <w:rPr>
          <w:sz w:val="20"/>
          <w:szCs w:val="18"/>
        </w:rPr>
        <w:t>.</w:t>
      </w:r>
      <w:r w:rsidR="005762D0" w:rsidRPr="004B194F">
        <w:rPr>
          <w:sz w:val="20"/>
          <w:szCs w:val="18"/>
        </w:rPr>
        <w:t xml:space="preserve"> Arapongas</w:t>
      </w:r>
      <w:r w:rsidR="004B194F">
        <w:rPr>
          <w:sz w:val="20"/>
          <w:szCs w:val="18"/>
        </w:rPr>
        <w:t>. Data de julgamento:</w:t>
      </w:r>
      <w:r w:rsidR="005762D0" w:rsidRPr="004B194F">
        <w:rPr>
          <w:sz w:val="20"/>
          <w:szCs w:val="18"/>
        </w:rPr>
        <w:t xml:space="preserve"> 16</w:t>
      </w:r>
      <w:r w:rsidR="004B194F">
        <w:rPr>
          <w:sz w:val="20"/>
          <w:szCs w:val="18"/>
        </w:rPr>
        <w:t>-</w:t>
      </w:r>
      <w:r w:rsidR="005762D0" w:rsidRPr="004B194F">
        <w:rPr>
          <w:sz w:val="20"/>
          <w:szCs w:val="18"/>
        </w:rPr>
        <w:t>3</w:t>
      </w:r>
      <w:r w:rsidR="004B194F">
        <w:rPr>
          <w:sz w:val="20"/>
          <w:szCs w:val="18"/>
        </w:rPr>
        <w:t>-</w:t>
      </w:r>
      <w:r w:rsidR="005762D0" w:rsidRPr="004B194F">
        <w:rPr>
          <w:sz w:val="20"/>
          <w:szCs w:val="18"/>
        </w:rPr>
        <w:t>2026</w:t>
      </w:r>
      <w:r w:rsidR="004B194F">
        <w:rPr>
          <w:sz w:val="20"/>
          <w:szCs w:val="18"/>
        </w:rPr>
        <w:t>).</w:t>
      </w:r>
    </w:p>
    <w:p w14:paraId="72B5EC8B" w14:textId="77777777" w:rsidR="004B194F" w:rsidRPr="004B194F" w:rsidRDefault="004B194F" w:rsidP="004B194F">
      <w:pPr>
        <w:pStyle w:val="PargrafodaLista"/>
        <w:ind w:left="2268" w:firstLine="0"/>
        <w:contextualSpacing w:val="0"/>
        <w:rPr>
          <w:sz w:val="20"/>
          <w:szCs w:val="18"/>
        </w:rPr>
      </w:pPr>
    </w:p>
    <w:p w14:paraId="42A6B548" w14:textId="652FFA4C" w:rsidR="005762D0" w:rsidRDefault="005762D0" w:rsidP="005762D0">
      <w:pPr>
        <w:pStyle w:val="PargrafodaLista"/>
        <w:ind w:left="0"/>
        <w:contextualSpacing w:val="0"/>
      </w:pPr>
      <w:r>
        <w:t>Satisfeitos, pois, os pressupostos processuais, conhece-se da revisão criminal.</w:t>
      </w:r>
    </w:p>
    <w:p w14:paraId="41003487" w14:textId="77777777" w:rsidR="00B839AD" w:rsidRDefault="00B839AD" w:rsidP="003D070C">
      <w:pPr>
        <w:pStyle w:val="PargrafodaLista"/>
        <w:ind w:left="0"/>
        <w:contextualSpacing w:val="0"/>
      </w:pPr>
    </w:p>
    <w:p w14:paraId="51956F95" w14:textId="51D705A4" w:rsidR="003D070C" w:rsidRDefault="00E87D19" w:rsidP="003D070C">
      <w:pPr>
        <w:pStyle w:val="PargrafodaLista"/>
        <w:ind w:left="0"/>
        <w:contextualSpacing w:val="0"/>
      </w:pPr>
      <w:r>
        <w:t>II.II – DO MÉRITO REVISIONAL E DA IMPOSSIBILIDADE DE REEXAME DE PROVAS</w:t>
      </w:r>
    </w:p>
    <w:p w14:paraId="78B7FC81" w14:textId="77777777" w:rsidR="003D070C" w:rsidRDefault="00E87D19" w:rsidP="003D070C">
      <w:pPr>
        <w:pStyle w:val="PargrafodaLista"/>
        <w:ind w:left="0"/>
        <w:contextualSpacing w:val="0"/>
      </w:pPr>
      <w:r>
        <w:t>No mérito, a pretensão revisional não comporta acolhimento, pois evidencia o indevido propósito de utilizar a via estreita da revisão criminal como sucedâneo recursal.</w:t>
      </w:r>
    </w:p>
    <w:p w14:paraId="5F041D68" w14:textId="77777777" w:rsidR="003D070C" w:rsidRDefault="00E87D19" w:rsidP="003D070C">
      <w:pPr>
        <w:pStyle w:val="PargrafodaLista"/>
        <w:ind w:left="0"/>
        <w:contextualSpacing w:val="0"/>
      </w:pPr>
      <w:r>
        <w:t>A revisão criminal, consagrada no artigo 621 do Código de Processo Penal, ostenta natureza excepcional e destina-se, primordialmente, à desconstituição de sentenças condenatórias transitadas em julgado que apresentem erro judiciário flagrante, vício insanável ou que sejam frontalmente contrárias à evidência dos autos. O deferimento do pleito revisional exige a demonstração inequívoca de que a condenação não encontra qualquer amparo nos elementos de convicção coligidos, afrontando o juízo de certeza necessário para a sanção penal.</w:t>
      </w:r>
    </w:p>
    <w:p w14:paraId="5AE23CE4" w14:textId="466D9B4E" w:rsidR="003D070C" w:rsidRDefault="00685AB4" w:rsidP="003D070C">
      <w:pPr>
        <w:pStyle w:val="PargrafodaLista"/>
        <w:ind w:left="0"/>
        <w:contextualSpacing w:val="0"/>
      </w:pPr>
      <w:r>
        <w:t>A esse respeito:</w:t>
      </w:r>
    </w:p>
    <w:p w14:paraId="76C8E48E" w14:textId="77777777" w:rsidR="00685AB4" w:rsidRDefault="00685AB4" w:rsidP="003D070C">
      <w:pPr>
        <w:pStyle w:val="PargrafodaLista"/>
        <w:ind w:left="0"/>
        <w:contextualSpacing w:val="0"/>
      </w:pPr>
    </w:p>
    <w:p w14:paraId="3D602452" w14:textId="4C88BE2C" w:rsidR="00685AB4" w:rsidRPr="00685AB4" w:rsidRDefault="00685AB4" w:rsidP="00685AB4">
      <w:pPr>
        <w:pStyle w:val="PargrafodaLista"/>
        <w:ind w:left="2268" w:firstLine="0"/>
        <w:contextualSpacing w:val="0"/>
        <w:rPr>
          <w:sz w:val="20"/>
          <w:szCs w:val="18"/>
        </w:rPr>
      </w:pPr>
      <w:r w:rsidRPr="00685AB4">
        <w:rPr>
          <w:sz w:val="20"/>
          <w:szCs w:val="18"/>
        </w:rPr>
        <w:t xml:space="preserve">REVISÃO CRIMINAL. MATÉRIA PENAL. HIPÓTESES DE CABIMENTO TAXATIVAS. PRETENSÃO DE REAVALIAÇÃO DE ASPECTOS DISCRICIONÁRIOS DA DOSIMETRIA DA PENA. EVENTUAL CONTROVÉRSIA RAZOÁVEL ACERCA DA VALORAÇÃO DE PROVAS E/OU DO DIREITO. INADEQUAÇÃO DA MEDIDA. REVISÃO CRIMINAL NÃO CONHECIDA. 1. Preliminarmente, o Tribunal Pleno, por maioria, rejeitou questão de ordem suscitada no que toca à eventual incompatibilidade, no caso concreto, de que o Relator do acórdão impugnado, proferido na Ação Penal 935/AM, funcione, nestes autos, como Revisor. 2. A revisão criminal, instrumento processual posto à disposição do condenado, tem como finalidade precípua conciliar, de um lado, a exigência de juridicidade da prestação jurisdicional e, de outro, a necessária segurança jurídica decorrente dos pronunciamentos emanados do Estado-Juiz, mediante observância de hipóteses de cabimento taxativamente previstas no ordenamento jurídico e que traduzam situações efetivamente graves que, em tese, possam autorizar a excepcional desconstituição da coisa julgada material. </w:t>
      </w:r>
      <w:r w:rsidRPr="00685AB4">
        <w:rPr>
          <w:b/>
          <w:bCs/>
          <w:sz w:val="20"/>
          <w:szCs w:val="18"/>
        </w:rPr>
        <w:t>3. Assim, a revisão criminal, que não tem feitio recursal, não se presta a, fora de sua destinação normativa, submeter a matéria subjacente ao crivo do Tribunal Pleno por razões derivadas exclusivamente do inconformismo defensivo ou de razões afetas ao suposto desacerto da razoável valoração da prova e/ou do direito.</w:t>
      </w:r>
      <w:r w:rsidRPr="00685AB4">
        <w:rPr>
          <w:sz w:val="20"/>
          <w:szCs w:val="18"/>
        </w:rPr>
        <w:t xml:space="preserve"> 4. No caso específico de ações penais originárias de competência de órgão fracionário desta Suprema Corte, a medida revisional também não funciona como ferramenta processual apta a inaugurar a jurisdição do colegiado maior como forma de contornar o não preenchimento dos requisitos impostos pela jurisprudência do STF ao cabimento dos embargos infringentes. 5. Segundo a firme jurisprudência desta Suprema Corte, a dosimetria da pena não se subordina à observância de rígidos esquemas ou regras aritméticas, assegurando-se ao competente órgão julgador certa discricionariedade no dimensionamento da resposta penal. Também inexiste correspondência necessária entre a expressividade numérica de circunstâncias judiciais desfavoráveis e o consequente incremento da pena-base. 6. Não configura ilegalidade o ato jurisdicional que condiciona a configuração de arrependimento posterior, previsto no art. 16 do Código Penal, à concomitante demonstração da voluntariedade e pessoalidade da reparação do dano. 7. O título condenatório que acolhe interpretação possível e razoável em prejuízo do acusado não consubstancia vulneração a texto expresso de lei, sendo que a solução de controvérsias ponderadas acerca da interpretação de normas jurídicas não se insere no escopo taxativo de abertura da via revisional. 8. Hipótese concreta em que a dosimetria da pena, embora contrarie os interesses do postulante, não desvela mácula sob a perspectiva da legalidade, cingindo-se a irresignação defensiva ao campo do acerto ou desacerto na fixação da censura penal, espacialidade que conta com discricionariedade judicial insuscetível de reexame em sede de revisão criminal. 9. Revisão criminal não conhecida. (STF. Tribunal Pleno. Relator: Ministro Edson Fachin. </w:t>
      </w:r>
      <w:proofErr w:type="spellStart"/>
      <w:r w:rsidRPr="00685AB4">
        <w:rPr>
          <w:sz w:val="20"/>
          <w:szCs w:val="18"/>
        </w:rPr>
        <w:t>RvC</w:t>
      </w:r>
      <w:proofErr w:type="spellEnd"/>
      <w:r w:rsidRPr="00685AB4">
        <w:rPr>
          <w:sz w:val="20"/>
          <w:szCs w:val="18"/>
        </w:rPr>
        <w:t xml:space="preserve"> 5475 AM. 0081195-88.2018.1.00.0000. Data de Julgamento: 6-11-2019. Data de Publicação: 15-4-2020).</w:t>
      </w:r>
    </w:p>
    <w:p w14:paraId="00407BB5" w14:textId="77777777" w:rsidR="00685AB4" w:rsidRDefault="00685AB4" w:rsidP="003D070C">
      <w:pPr>
        <w:pStyle w:val="PargrafodaLista"/>
        <w:ind w:left="0"/>
        <w:contextualSpacing w:val="0"/>
      </w:pPr>
    </w:p>
    <w:p w14:paraId="02AFB701" w14:textId="23A2DA23" w:rsidR="003D070C" w:rsidRDefault="00E87D19" w:rsidP="003D070C">
      <w:pPr>
        <w:pStyle w:val="PargrafodaLista"/>
        <w:ind w:left="0"/>
        <w:contextualSpacing w:val="0"/>
      </w:pPr>
      <w:r>
        <w:t>No caso em apreço, as teses defensivas</w:t>
      </w:r>
      <w:r w:rsidR="00685AB4">
        <w:t xml:space="preserve">, a saber, </w:t>
      </w:r>
      <w:r>
        <w:t>nulidade do reconhecimento fotográfico, ausência de animus necandi para fins de desclassificação, consunção e insurgências quanto aos critérios de dosimetria da pena</w:t>
      </w:r>
      <w:r w:rsidR="00685AB4">
        <w:t>,</w:t>
      </w:r>
      <w:r>
        <w:t xml:space="preserve"> fundamentam-se na irresignação da parte com a valoração das provas promovida pelo juízo da condenação.</w:t>
      </w:r>
    </w:p>
    <w:p w14:paraId="6E300F6F" w14:textId="537EC9B3" w:rsidR="00C26C35" w:rsidRDefault="00E87D19" w:rsidP="003D070C">
      <w:pPr>
        <w:pStyle w:val="PargrafodaLista"/>
        <w:ind w:left="0"/>
        <w:contextualSpacing w:val="0"/>
      </w:pPr>
      <w:r>
        <w:t xml:space="preserve">A parte requerente </w:t>
      </w:r>
      <w:r w:rsidR="00662276">
        <w:t xml:space="preserve">pretende, ao cabo, </w:t>
      </w:r>
      <w:r>
        <w:t>uma nova incursão no conjunto fático-probatório, notadamente na reinterpretação dos depoimentos prestados pelas vítimas</w:t>
      </w:r>
      <w:r w:rsidR="00662276">
        <w:t xml:space="preserve"> e policiais militares</w:t>
      </w:r>
      <w:r>
        <w:t>, com o fim de alcançar conclusão diversa daquela já chancelada pelas instâncias ordinárias. Ocorre que a decisão condenatória originária, mantida em sede de apelação criminal, expôs de forma pormenorizada as razões de fato e de direito que levaram ao convencimento acerca da materialidade, autoria, dolo e limites da pena aplic</w:t>
      </w:r>
      <w:r w:rsidR="00AA5204">
        <w:t xml:space="preserve">ada e, ademais, sobre </w:t>
      </w:r>
      <w:r w:rsidR="0043285B">
        <w:t xml:space="preserve">a </w:t>
      </w:r>
      <w:r w:rsidR="00AA5204">
        <w:t>distinção ontológica entre os crimes de latrocínio e porte de arma.</w:t>
      </w:r>
    </w:p>
    <w:p w14:paraId="6632FF24" w14:textId="7C5B979B" w:rsidR="003D070C" w:rsidRDefault="00C26C35" w:rsidP="003D070C">
      <w:pPr>
        <w:pStyle w:val="PargrafodaLista"/>
        <w:ind w:left="0"/>
        <w:contextualSpacing w:val="0"/>
      </w:pPr>
      <w:r w:rsidRPr="00C26C35">
        <w:t xml:space="preserve">Isso porque aferir a inobservância das formalidades </w:t>
      </w:r>
      <w:r w:rsidR="002A027C">
        <w:t>do reconhecimento</w:t>
      </w:r>
      <w:r w:rsidRPr="00C26C35">
        <w:t xml:space="preserve">, </w:t>
      </w:r>
      <w:r w:rsidR="002A027C">
        <w:t xml:space="preserve">o </w:t>
      </w:r>
      <w:r w:rsidR="002A027C">
        <w:rPr>
          <w:i/>
          <w:iCs/>
        </w:rPr>
        <w:t>animus necandi</w:t>
      </w:r>
      <w:r w:rsidRPr="00C26C35">
        <w:t xml:space="preserve"> do agente, a autonomia de desígnios para fins de afastar a consunção, bem como os critérios subjetivos da dosimetria da pena, demandaria o revolvimento vertical do acervo oral e documental colhido na origem, o que é defeso nest</w:t>
      </w:r>
      <w:r w:rsidR="00F90812">
        <w:t xml:space="preserve">e expediente processual. No ponto, sequer há falar sobre </w:t>
      </w:r>
      <w:r w:rsidR="002E1C3A">
        <w:t>influência determinante do reconhecimento pessoal. A conclusão sobre a autoria foi obtida a partir d</w:t>
      </w:r>
      <w:r w:rsidR="001025D2">
        <w:t>o conteúdo dos depoimentos dos policiais militares, que realizaram a abordagem em razão das características fís</w:t>
      </w:r>
      <w:r w:rsidR="005275EE">
        <w:t>icas da parte serem semelhantes às do autor do latrocínio</w:t>
      </w:r>
      <w:r w:rsidR="00C63724">
        <w:t>, e da confissão informal feita aos agentes de segurança pública (eventos</w:t>
      </w:r>
      <w:r w:rsidR="008339E3">
        <w:t xml:space="preserve"> 325.4 </w:t>
      </w:r>
      <w:r w:rsidR="003D3878">
        <w:t xml:space="preserve">e 325.5 </w:t>
      </w:r>
      <w:r w:rsidR="008339E3">
        <w:t>– autos de origem)</w:t>
      </w:r>
    </w:p>
    <w:p w14:paraId="0E47F729" w14:textId="77777777" w:rsidR="003D070C" w:rsidRDefault="00E87D19" w:rsidP="003D070C">
      <w:pPr>
        <w:pStyle w:val="PargrafodaLista"/>
        <w:ind w:left="0"/>
        <w:contextualSpacing w:val="0"/>
      </w:pPr>
      <w:r>
        <w:t>Não se verifica, portanto, contrariedade evidente entre a condenação e a prova dos autos, mas mera divergência interpretativa da defesa quanto ao peso atribuído aos elementos probatórios. A jurisprudência pátria é pacífica ao orientar que a revisão criminal não atua como uma segunda apelação, sendo inadmissível o mero reexame de provas ou a rediscussão de teses já superadas, sob pena de violação à segurança jurídica e à estabilidade da coisa julgada.</w:t>
      </w:r>
    </w:p>
    <w:p w14:paraId="21BDF181" w14:textId="51B68C19" w:rsidR="003D070C" w:rsidRDefault="00062C6D" w:rsidP="003D070C">
      <w:pPr>
        <w:pStyle w:val="PargrafodaLista"/>
        <w:ind w:left="0"/>
        <w:contextualSpacing w:val="0"/>
      </w:pPr>
      <w:r>
        <w:t>Eis a jurisprudência:</w:t>
      </w:r>
    </w:p>
    <w:p w14:paraId="54CD0EBB" w14:textId="77777777" w:rsidR="00606313" w:rsidRDefault="00606313" w:rsidP="003D070C">
      <w:pPr>
        <w:pStyle w:val="PargrafodaLista"/>
        <w:ind w:left="0"/>
        <w:contextualSpacing w:val="0"/>
      </w:pPr>
    </w:p>
    <w:p w14:paraId="22408EF9" w14:textId="17D213E3" w:rsidR="00606313" w:rsidRDefault="00606313" w:rsidP="00606313">
      <w:pPr>
        <w:pStyle w:val="PargrafodaLista"/>
        <w:ind w:left="2268" w:firstLine="0"/>
        <w:contextualSpacing w:val="0"/>
      </w:pPr>
      <w:r w:rsidRPr="00606313">
        <w:rPr>
          <w:sz w:val="20"/>
          <w:szCs w:val="18"/>
        </w:rPr>
        <w:t xml:space="preserve">PROCESSUAL PENAL. AGRAVO REGIMENTAL EM REVISÃO CRIMINAL. ART. 621, I, DO CPP. APLICAÇÃO DO ART. 33, §4º, DA LEI 11.343/06. UTILIZAÇÃO DA VIA COMO RECURSO. NÃO CABIMENTO. REVISÃO CRIMINAL JULGADA IMPROCEDENTE. AGRAVO DESPROVIDO. 1. "Superior Tribunal de Justiça pacificou o entendimento no sentido do não cabimento da revisão criminal quando utilizada como nova apelação, com vista ao mero reexame de fatos e provas, não se verificando hipótese de contrariedade ao texto expresso da lei penal ou à evidência dos autos, consoante previsão do art. 621, I, do CPP" (AgRg no REsp n. 1.781.148/RJ, Ministro Joel Ilan Paciornik, Quinta Turma, </w:t>
      </w:r>
      <w:proofErr w:type="spellStart"/>
      <w:r w:rsidRPr="00606313">
        <w:rPr>
          <w:sz w:val="20"/>
          <w:szCs w:val="18"/>
        </w:rPr>
        <w:t>DJe</w:t>
      </w:r>
      <w:proofErr w:type="spellEnd"/>
      <w:r w:rsidRPr="00606313">
        <w:rPr>
          <w:sz w:val="20"/>
          <w:szCs w:val="18"/>
        </w:rPr>
        <w:t xml:space="preserve"> 18/10/2019). 2. O fato de corréus terem sido beneficiados pelo "tráfico privilegiado" (art. 33, §4º, da Lei de Drogas) não implica necessária extensão a todos os envolvidos no fato delitivo. 3. Agravo regimental desprovido. (STJ. Terceira Seção. Relator: Ministro Ribeiro Dantas. AgRg na </w:t>
      </w:r>
      <w:proofErr w:type="spellStart"/>
      <w:r w:rsidRPr="00606313">
        <w:rPr>
          <w:sz w:val="20"/>
          <w:szCs w:val="18"/>
        </w:rPr>
        <w:t>RvCr</w:t>
      </w:r>
      <w:proofErr w:type="spellEnd"/>
      <w:r w:rsidRPr="00606313">
        <w:rPr>
          <w:sz w:val="20"/>
          <w:szCs w:val="18"/>
        </w:rPr>
        <w:t xml:space="preserve"> n. 5.735/DF. Data de Julgamento: 11-5-2022. Data de Publicação: 16-5-2022).</w:t>
      </w:r>
    </w:p>
    <w:p w14:paraId="4849557A" w14:textId="77777777" w:rsidR="00062C6D" w:rsidRDefault="00062C6D" w:rsidP="003D070C">
      <w:pPr>
        <w:pStyle w:val="PargrafodaLista"/>
        <w:ind w:left="0"/>
        <w:contextualSpacing w:val="0"/>
      </w:pPr>
    </w:p>
    <w:p w14:paraId="2B2467B8" w14:textId="20EBF8CF" w:rsidR="00B839AD" w:rsidRDefault="00606313" w:rsidP="00B839AD">
      <w:pPr>
        <w:pStyle w:val="PargrafodaLista"/>
        <w:ind w:left="0"/>
        <w:contextualSpacing w:val="0"/>
      </w:pPr>
      <w:r>
        <w:t>Portanto</w:t>
      </w:r>
      <w:r w:rsidR="00E87D19">
        <w:t>, inexistindo comprovação de que o decreto condenatório destoa de forma absoluta das evidências constantes no caderno processual, a manutenção da coisa julgada é medida de rigor.</w:t>
      </w:r>
    </w:p>
    <w:p w14:paraId="0CFD7A1C" w14:textId="77777777" w:rsidR="00B839AD" w:rsidRPr="00B839AD" w:rsidRDefault="00B839AD" w:rsidP="00B839AD">
      <w:pPr>
        <w:pStyle w:val="PargrafodaLista"/>
        <w:ind w:left="0"/>
        <w:contextualSpacing w:val="0"/>
        <w:rPr>
          <w:bCs/>
        </w:rPr>
      </w:pPr>
    </w:p>
    <w:p w14:paraId="7E89B449" w14:textId="77777777" w:rsidR="00B839AD" w:rsidRPr="00B839AD" w:rsidRDefault="005C6E15" w:rsidP="00B839AD">
      <w:pPr>
        <w:pStyle w:val="PargrafodaLista"/>
        <w:ind w:left="0"/>
        <w:contextualSpacing w:val="0"/>
        <w:rPr>
          <w:bCs/>
        </w:rPr>
      </w:pPr>
      <w:r w:rsidRPr="00B839AD">
        <w:rPr>
          <w:bCs/>
        </w:rPr>
        <w:t xml:space="preserve">II.III. </w:t>
      </w:r>
      <w:r w:rsidRPr="00783489">
        <w:rPr>
          <w:bCs/>
        </w:rPr>
        <w:t>DA CONCLUSÃO</w:t>
      </w:r>
    </w:p>
    <w:p w14:paraId="47851958" w14:textId="54828477" w:rsidR="00B839AD" w:rsidRPr="00B839AD" w:rsidRDefault="005C6E15" w:rsidP="00B839AD">
      <w:pPr>
        <w:pStyle w:val="PargrafodaLista"/>
        <w:ind w:left="0"/>
        <w:contextualSpacing w:val="0"/>
        <w:rPr>
          <w:bCs/>
        </w:rPr>
      </w:pPr>
      <w:r w:rsidRPr="00783489">
        <w:rPr>
          <w:bCs/>
        </w:rPr>
        <w:t>Pela conjugação das premissas alinhavadas, a solução a ser adotada consiste em conhecer e julgar improcedente a revisão criminal ajuizada por Hugo Leonardo Mira de Oliveira.</w:t>
      </w:r>
    </w:p>
    <w:p w14:paraId="7A6B61C3" w14:textId="77777777" w:rsidR="00B839AD" w:rsidRDefault="005C6E15" w:rsidP="00B839AD">
      <w:pPr>
        <w:pStyle w:val="PargrafodaLista"/>
        <w:ind w:left="0"/>
        <w:contextualSpacing w:val="0"/>
        <w:rPr>
          <w:bCs/>
        </w:rPr>
      </w:pPr>
      <w:r w:rsidRPr="00783489">
        <w:rPr>
          <w:bCs/>
        </w:rPr>
        <w:t>É como voto.</w:t>
      </w:r>
    </w:p>
    <w:p w14:paraId="7E605CDA" w14:textId="77777777" w:rsidR="00B839AD" w:rsidRDefault="00B839AD" w:rsidP="00B839AD">
      <w:pPr>
        <w:pStyle w:val="PargrafodaLista"/>
        <w:ind w:left="0"/>
        <w:contextualSpacing w:val="0"/>
        <w:rPr>
          <w:bCs/>
        </w:rPr>
      </w:pPr>
    </w:p>
    <w:p w14:paraId="717BA75D" w14:textId="04925F58" w:rsidR="00AA28DF" w:rsidRPr="00AA28DF" w:rsidRDefault="00877419" w:rsidP="00B839AD">
      <w:pPr>
        <w:pStyle w:val="PargrafodaLista"/>
        <w:ind w:left="0"/>
        <w:contextualSpacing w:val="0"/>
        <w:rPr>
          <w:b/>
        </w:rPr>
      </w:pPr>
      <w:r>
        <w:rPr>
          <w:b/>
        </w:rPr>
        <w:t xml:space="preserve">III </w:t>
      </w:r>
      <w:r w:rsidR="00372AAB">
        <w:rPr>
          <w:b/>
        </w:rPr>
        <w:t xml:space="preserve">– </w:t>
      </w:r>
      <w:r>
        <w:rPr>
          <w:b/>
        </w:rPr>
        <w:t>DECISÃO</w:t>
      </w:r>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16cid:durableId="366955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942"/>
    <w:rsid w:val="0004350E"/>
    <w:rsid w:val="00062C6D"/>
    <w:rsid w:val="000A7DC7"/>
    <w:rsid w:val="001025D2"/>
    <w:rsid w:val="00146748"/>
    <w:rsid w:val="00165C47"/>
    <w:rsid w:val="0018089D"/>
    <w:rsid w:val="001C2D4C"/>
    <w:rsid w:val="001D0E08"/>
    <w:rsid w:val="002A027C"/>
    <w:rsid w:val="002E1C3A"/>
    <w:rsid w:val="003701DD"/>
    <w:rsid w:val="00372AAB"/>
    <w:rsid w:val="003A6085"/>
    <w:rsid w:val="003D070C"/>
    <w:rsid w:val="003D3878"/>
    <w:rsid w:val="00421933"/>
    <w:rsid w:val="0043285B"/>
    <w:rsid w:val="004938EB"/>
    <w:rsid w:val="004B194F"/>
    <w:rsid w:val="005275EE"/>
    <w:rsid w:val="005455E2"/>
    <w:rsid w:val="005569D4"/>
    <w:rsid w:val="005762D0"/>
    <w:rsid w:val="005B4039"/>
    <w:rsid w:val="005C6E15"/>
    <w:rsid w:val="00606313"/>
    <w:rsid w:val="006072C0"/>
    <w:rsid w:val="00660C1A"/>
    <w:rsid w:val="00662276"/>
    <w:rsid w:val="00672942"/>
    <w:rsid w:val="00685AB4"/>
    <w:rsid w:val="00783489"/>
    <w:rsid w:val="00794062"/>
    <w:rsid w:val="008339E3"/>
    <w:rsid w:val="00877419"/>
    <w:rsid w:val="00953E4F"/>
    <w:rsid w:val="00973737"/>
    <w:rsid w:val="009D0D3E"/>
    <w:rsid w:val="00AA28DF"/>
    <w:rsid w:val="00AA5204"/>
    <w:rsid w:val="00AE47D1"/>
    <w:rsid w:val="00B20E45"/>
    <w:rsid w:val="00B636A7"/>
    <w:rsid w:val="00B70039"/>
    <w:rsid w:val="00B839AD"/>
    <w:rsid w:val="00BA072C"/>
    <w:rsid w:val="00BC64BE"/>
    <w:rsid w:val="00C26C35"/>
    <w:rsid w:val="00C63724"/>
    <w:rsid w:val="00CD5E41"/>
    <w:rsid w:val="00D23F37"/>
    <w:rsid w:val="00D37894"/>
    <w:rsid w:val="00D866CC"/>
    <w:rsid w:val="00D9696D"/>
    <w:rsid w:val="00DB63FD"/>
    <w:rsid w:val="00DC37B4"/>
    <w:rsid w:val="00E87D19"/>
    <w:rsid w:val="00EA3C6B"/>
    <w:rsid w:val="00F90812"/>
    <w:rsid w:val="00FE0C12"/>
    <w:rsid w:val="00FF157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85615"/>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2365896">
      <w:bodyDiv w:val="1"/>
      <w:marLeft w:val="0"/>
      <w:marRight w:val="0"/>
      <w:marTop w:val="0"/>
      <w:marBottom w:val="0"/>
      <w:divBdr>
        <w:top w:val="none" w:sz="0" w:space="0" w:color="auto"/>
        <w:left w:val="none" w:sz="0" w:space="0" w:color="auto"/>
        <w:bottom w:val="none" w:sz="0" w:space="0" w:color="auto"/>
        <w:right w:val="none" w:sz="0" w:space="0" w:color="auto"/>
      </w:divBdr>
    </w:div>
    <w:div w:id="1437673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1" ma:contentTypeDescription="Crie um novo documento." ma:contentTypeScope="" ma:versionID="f9b77c0a9ca16248db2a354a9324d574">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f83b46afa82d5de6e7294c7773150add"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20BBA1B-C17B-48AE-871E-FD5DA2C7C0CD}">
  <ds:schemaRefs>
    <ds:schemaRef ds:uri="http://schemas.microsoft.com/office/2006/metadata/properties"/>
    <ds:schemaRef ds:uri="http://schemas.microsoft.com/office/infopath/2007/PartnerControls"/>
    <ds:schemaRef ds:uri="0b1c8c71-5c14-46ef-9c85-f6af5a95de9b"/>
    <ds:schemaRef ds:uri="c04bd5eb-5da3-4c78-b159-2bc8443a6345"/>
  </ds:schemaRefs>
</ds:datastoreItem>
</file>

<file path=customXml/itemProps2.xml><?xml version="1.0" encoding="utf-8"?>
<ds:datastoreItem xmlns:ds="http://schemas.openxmlformats.org/officeDocument/2006/customXml" ds:itemID="{1D75B026-B2AE-42DC-8951-55F2071FA656}">
  <ds:schemaRefs>
    <ds:schemaRef ds:uri="http://schemas.microsoft.com/sharepoint/v3/contenttype/forms"/>
  </ds:schemaRefs>
</ds:datastoreItem>
</file>

<file path=customXml/itemProps3.xml><?xml version="1.0" encoding="utf-8"?>
<ds:datastoreItem xmlns:ds="http://schemas.openxmlformats.org/officeDocument/2006/customXml" ds:itemID="{1511FE1A-DF0B-4563-82F9-A54BBF30FC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bd5eb-5da3-4c78-b159-2bc8443a6345"/>
    <ds:schemaRef ds:uri="0b1c8c71-5c14-46ef-9c85-f6af5a95de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1</Pages>
  <Words>2305</Words>
  <Characters>12449</Characters>
  <Application>Microsoft Office Word</Application>
  <DocSecurity>0</DocSecurity>
  <Lines>103</Lines>
  <Paragraphs>29</Paragraphs>
  <ScaleCrop>false</ScaleCrop>
  <Company>Tribunal de Justiça do Estado do Paraná</Company>
  <LinksUpToDate>false</LinksUpToDate>
  <CharactersWithSpaces>14725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53</cp:revision>
  <cp:lastPrinted>2025-07-11T18:35:00Z</cp:lastPrinted>
  <dcterms:created xsi:type="dcterms:W3CDTF">2024-02-08T17:42:00Z</dcterms:created>
  <dcterms:modified xsi:type="dcterms:W3CDTF">2026-03-30T14:04:00Z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371800</vt:r8>
  </property>
  <property fmtid="{D5CDD505-2E9C-101B-9397-08002B2CF9AE}" pid="4" name="docLang">
    <vt:lpwstr>pt</vt:lpwstr>
  </property>
  <property fmtid="{D5CDD505-2E9C-101B-9397-08002B2CF9AE}" pid="5" name="MediaServiceImageTags">
    <vt:lpwstr/>
  </property>
</Properties>
</file>