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F1DFD" w14:textId="1D64D3BB" w:rsidR="00F40581" w:rsidRDefault="00AD7762" w:rsidP="00AD776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PENAL E PROCESSUAL PENAL. FURTO QUALIFICADO. ART. 155, § 4º, I E VII, CP. </w:t>
      </w:r>
      <w:r w:rsidR="00F4058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ALEGAÇÃO DE AUSÊNCIA DE PROVA DE AUTORIA. PLEITO RECURSAL SUBSIDIÁRIO DE DESCLASSIFICAÇÃO PARA RECEPTAÇÃO. CONFISSÃO EXTERNADA NA FASE POLICIAL. CONVERGÊNCIA ENTRE O INTERROGATÓRIO POLICIAL E DEMAIS ELEMENTOS DE PROVA. CONDENAÇÃO MANTIDA. PRETENSÃO GENÉRICA DE REVISÃO DA PENA. DOSIMETRIA FUNDAMENTADA EM DADOS CONCRETOS DOS AUTOS. PROPORCIONALIDADE PRESERVADA. REGIME INICIAL. PENA PRIVATIVA DE LIBERDADE INFERIOR A 4 (QUATRO) ANOS. CONJUGAÇÃO ENTRE REINCIDÊNCIA E CIRCUNSTÂNCIAS JUDICIAIS NEGATIVAS. REGIME FECHADO. POSSIBILIDADE. CORRÉU QUE NÃO OSTENTA REINCIDÊNCIA. REFORMA DA SENTENÇA. APLICAÇÃO DO REGIME SEMIABERTO. REVOGAÇÃO. PRISÃO PREVENTIVA. PRINCÍPIO DA HOMOGENEIDADE. MEDIDA CAUTELAR MAIS GRAVE QUE A PRÓPRIA PENA. RECURSO CONHECIDO E PARCIALMENTE PROVIDO.</w:t>
      </w:r>
    </w:p>
    <w:p w14:paraId="401B6907" w14:textId="2DA4FF41" w:rsidR="00F40581" w:rsidRDefault="00F40581" w:rsidP="00AD776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A confissão policial, em cotejo com demais elementos de prova, produzidos sob contraditório judicial, constitui meio probatório idôneo para imputação da autoria delitiva, em detrimento de negativa apresentada no interrogatório judicial.</w:t>
      </w:r>
    </w:p>
    <w:p w14:paraId="129CC72B" w14:textId="77777777" w:rsidR="00F40581" w:rsidRDefault="00F40581" w:rsidP="00F4058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Na composição quantitativa da pena, </w:t>
      </w:r>
      <w:r w:rsidRPr="005F268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 </w:t>
      </w:r>
      <w:r w:rsidRPr="0002578A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quantum</w:t>
      </w:r>
      <w:r w:rsidRPr="005F268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exasperação submete-se à discricionariedade motivada do julgador, razão pela qual a reforma da dosimetria só se justifica se verificada evidente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ausência de fundamentação em dados concretos ou evidente desproporcionalidade.</w:t>
      </w:r>
    </w:p>
    <w:p w14:paraId="342D4605" w14:textId="51BB5ADB" w:rsidR="003B670A" w:rsidRDefault="00F40581" w:rsidP="00F4058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3. </w:t>
      </w:r>
      <w:r w:rsidR="003B670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Valoradas negativamente circunstâncias judiciais e sendo o réu reincidente, a pena de reclusão fixada em patamar inferior a 4 (quatro) anos pode ser cumprida, incialmente, em regime fechado. Inteligência do </w:t>
      </w:r>
      <w:r w:rsidR="003B670A" w:rsidRPr="003B670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artigo </w:t>
      </w:r>
      <w:r w:rsidR="003B670A" w:rsidRPr="003B670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33, § 3º,</w:t>
      </w:r>
      <w:r w:rsidR="003B670A" w:rsidRPr="003B670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do Código Penal.</w:t>
      </w:r>
    </w:p>
    <w:p w14:paraId="1B99693D" w14:textId="298A8626" w:rsidR="003B670A" w:rsidRDefault="003B670A" w:rsidP="00F4058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4. Considerada negativamente apenas uma circunstância judicial, a fixação do inicial fechado para o cumprimento de pena inferior a 4 (quatro) anos revela-se desproporcional.</w:t>
      </w:r>
    </w:p>
    <w:p w14:paraId="3261A0F0" w14:textId="55C803F0" w:rsidR="003B670A" w:rsidRDefault="003B670A" w:rsidP="00AD776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5. Pelo princípio da homogeneidade, a concessão do regime semiaberto em grau recursal determina a imediata revogação da prisão preventiva, mais gravosa do que a pena aplicada em concreto.</w:t>
      </w:r>
    </w:p>
    <w:p w14:paraId="754C0459" w14:textId="45FE2727" w:rsidR="00BB4838" w:rsidRDefault="00BB4838" w:rsidP="00AD776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6. Recurso conhecido e parcialmente provido.</w:t>
      </w:r>
    </w:p>
    <w:p w14:paraId="309417C0" w14:textId="77777777" w:rsidR="00AD7762" w:rsidRDefault="00AD7762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02E0484" w14:textId="1BAF5672" w:rsidR="00D74F23" w:rsidRPr="00D84F9B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84F9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61764D91" w14:textId="50060486" w:rsidR="00772DB6" w:rsidRDefault="00772DB6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Cuida-se de recurso de apelação </w:t>
      </w:r>
      <w:r w:rsidR="00D84F9B">
        <w:rPr>
          <w:rFonts w:ascii="Times New Roman" w:eastAsia="Times New Roman" w:hAnsi="Times New Roman" w:cs="Times New Roman"/>
          <w:sz w:val="24"/>
          <w:szCs w:val="24"/>
          <w:lang w:eastAsia="pt-BR"/>
        </w:rPr>
        <w:t>interposto por Alex Luan dos Santos e Jaison Colaço Batista, que julgou procedente pretensão acusatória estatal para condená-los, pelo crime previsto no artigo</w:t>
      </w:r>
      <w:r w:rsidR="00C216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155, § 4º, incisos I e IV, do Código Penal, respectivamente, às penas de 2 (dois) anos e 6 (seis) meses de reclusão e 15 (quinze) dias-multa e 3 (três) anos de reclusão e 20 (vinte) dias-multa, ambas em regime inicial fechado (evento 122.1 – autos de origem).</w:t>
      </w:r>
    </w:p>
    <w:p w14:paraId="2168BD16" w14:textId="709C7114" w:rsidR="00E10CD1" w:rsidRDefault="00C216CB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Eis, em síntese, as razões de inconformismo: a) ausência de provas da autoria delitiva a implicar os apelantes</w:t>
      </w:r>
      <w:r w:rsidR="00E10C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crime de furto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="00E10C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b) subsidiariamente, a constatação da posse de Jaison Colaço Batista sobre a res furtiva somente admitiria a imputação do crime de receptação; 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 inexistem circunstâncias judiciais ou legais a influírem na dosimetria da pena, impondo-s</w:t>
      </w:r>
      <w:r w:rsidR="009B5A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sua aplicação no mínimo legal; </w:t>
      </w:r>
      <w:r w:rsidR="00E10C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pelo </w:t>
      </w:r>
      <w:r w:rsidR="00E10CD1" w:rsidRPr="00E10C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quantum</w:t>
      </w:r>
      <w:r w:rsidR="00E10C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pena, aplica-se o regime aberto a Alex Luan dos Santos e, para Jaison Colaço Batista, o semiaberto; e) Alex Luan dos Santos faz jus à substituição da pena privativa de liberdade por restritiva de direitos, nos termos do artigo 44, do Código Penal (evento 136.1 – autos de origem).</w:t>
      </w:r>
    </w:p>
    <w:p w14:paraId="489257E5" w14:textId="50A7E200" w:rsidR="0046627B" w:rsidRDefault="0046627B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Nas contrarrazões, o Ministério Público sustentou que: a) a prova da autoria do crime de furto restou consubstanciada pela confissão de Jaison Colaço Batista em seu interrogatório policial, em cotejo com a prova judicial produzida; b) pela incidência de circunstâncias negativas e a reincidência dos apelantes, inexistem reparos na composição quantitativa da pena e fixação do regime inicial fechado; c) a reincidência afasta a incidência do benefício do artigo 44, do Código Penal (evento 148.1 – autos de origem).</w:t>
      </w:r>
    </w:p>
    <w:p w14:paraId="5395F81C" w14:textId="32C70147" w:rsidR="0046627B" w:rsidRDefault="0046627B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Opinou a Procuradoria-Geral de Justiça pelo conhecimento e provimento parcial </w:t>
      </w:r>
      <w:r w:rsidR="007F4761">
        <w:rPr>
          <w:rFonts w:ascii="Times New Roman" w:eastAsia="Times New Roman" w:hAnsi="Times New Roman" w:cs="Times New Roman"/>
          <w:sz w:val="24"/>
          <w:szCs w:val="24"/>
          <w:lang w:eastAsia="pt-BR"/>
        </w:rPr>
        <w:t>do recurso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tão somente para </w:t>
      </w:r>
      <w:r w:rsidR="007F4761">
        <w:rPr>
          <w:rFonts w:ascii="Times New Roman" w:eastAsia="Times New Roman" w:hAnsi="Times New Roman" w:cs="Times New Roman"/>
          <w:sz w:val="24"/>
          <w:szCs w:val="24"/>
          <w:lang w:eastAsia="pt-BR"/>
        </w:rPr>
        <w:t>fixação do regime semiaberto para Alex Luan dos Santos (evento 14.1).</w:t>
      </w:r>
    </w:p>
    <w:p w14:paraId="1788C116" w14:textId="51FF96C1" w:rsidR="007F4761" w:rsidRDefault="007F4761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É o necessário relato.</w:t>
      </w:r>
    </w:p>
    <w:p w14:paraId="55473CFC" w14:textId="28FB6557" w:rsidR="007F4761" w:rsidRPr="007F4761" w:rsidRDefault="007F4761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4F6B939F" w14:textId="47DFC03C" w:rsidR="007F4761" w:rsidRDefault="007F4761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r w:rsidRPr="007F47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 VOTO E SUA FUNDAMENTAÇÃO</w:t>
      </w:r>
    </w:p>
    <w:p w14:paraId="6DDE9982" w14:textId="7E7753A9" w:rsidR="007F4761" w:rsidRDefault="007F4761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761">
        <w:rPr>
          <w:rFonts w:ascii="Times New Roman" w:eastAsia="Times New Roman" w:hAnsi="Times New Roman" w:cs="Times New Roman"/>
          <w:sz w:val="24"/>
          <w:szCs w:val="24"/>
          <w:lang w:eastAsia="pt-BR"/>
        </w:rPr>
        <w:t>II.I – DO JUÍZO DE ADMISSIBILIDADE</w:t>
      </w:r>
    </w:p>
    <w:p w14:paraId="42D16BC3" w14:textId="766B78ED" w:rsidR="00FC51EF" w:rsidRDefault="00FC51EF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 os pressupostos de admissibilidade recursal, conhece-se da apelação interposta.</w:t>
      </w:r>
    </w:p>
    <w:p w14:paraId="31AE3EE5" w14:textId="77777777" w:rsidR="00FC51EF" w:rsidRDefault="00FC51EF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89B37E" w14:textId="4BF75A04" w:rsidR="00FC51EF" w:rsidRDefault="00FC51EF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 – DA IMPUTAÇÃO PELO CRIME DE FURTO</w:t>
      </w:r>
      <w:r w:rsidR="00AD77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QUALIFICADO</w:t>
      </w:r>
    </w:p>
    <w:p w14:paraId="7AC45563" w14:textId="77777777" w:rsidR="00513F9D" w:rsidRDefault="00513F9D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detrimento das pretensões absolutória e desclassificatória deduzidas pela defesa, amparadas na alegação de ausência de prova da autoria do crime de furto, tem-se que o conjunto probatório, associado aos elementos de informação angariados na fase de inquérito, permite, de maneira segura e indene de dúvidas, a imputação do furto aos apelantes.</w:t>
      </w:r>
    </w:p>
    <w:p w14:paraId="650D3499" w14:textId="13D75B19" w:rsidR="002D4CE1" w:rsidRDefault="00B75E6E" w:rsidP="003303F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o</w:t>
      </w:r>
      <w:r w:rsidR="002D4C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 dessume dos depoimentos policial e judicial da vítima </w:t>
      </w:r>
      <w:r w:rsidR="003303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Romilda de Souza Santana </w:t>
      </w:r>
      <w:r w:rsidR="002D4C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(eventos 1.3 e 121.1 – autos de origem), em cotejo com o do policial militar Lucas Luiz Hones (evento </w:t>
      </w:r>
      <w:r w:rsidR="003303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121.2 – autos de origem) e o </w:t>
      </w:r>
      <w:r w:rsidR="002D4CE1">
        <w:rPr>
          <w:rFonts w:ascii="Times New Roman" w:eastAsia="Times New Roman" w:hAnsi="Times New Roman" w:cs="Times New Roman"/>
          <w:sz w:val="24"/>
          <w:szCs w:val="24"/>
          <w:lang w:eastAsia="pt-BR"/>
        </w:rPr>
        <w:t>interrogatório policial d</w:t>
      </w:r>
      <w:r w:rsidR="003303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="002D4CE1">
        <w:rPr>
          <w:rFonts w:ascii="Times New Roman" w:eastAsia="Times New Roman" w:hAnsi="Times New Roman" w:cs="Times New Roman"/>
          <w:sz w:val="24"/>
          <w:szCs w:val="24"/>
          <w:lang w:eastAsia="pt-BR"/>
        </w:rPr>
        <w:t>Jaison Colaço Batista, que confessou a prática do crime de furto (evento 1.5 – autos de origem).</w:t>
      </w:r>
    </w:p>
    <w:p w14:paraId="47CE9B8F" w14:textId="62A79AF1" w:rsidR="00D876D7" w:rsidRDefault="00D876D7" w:rsidP="003303F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seus depoimentos, a ofendida descreveu a invasão de seu domicílio e a subtração, mediante arrombamento da porta da residência, de uma televisão, uma bicicleta e determinada quantia de dinheiro. A bicicleta e a televisão foram localizadas pouco tempo após os fatos, a primeira em posse de Jaison e a segunda, de terceira pessoa (eventos 1.3 e 121.1 – autos de origem).</w:t>
      </w:r>
    </w:p>
    <w:p w14:paraId="2CA7F4F5" w14:textId="52EFEF15" w:rsidR="003303FF" w:rsidRDefault="00D876D7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Jaison relatou, perante a autoridade policial, ter praticado o furto em concurso com com Alex, que propôs a empreitada por saber que a residência da ofendida estava vazia e desvigiada. Descreveu amiúde a prática do fato, inclusive com indicação detalhada do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modus operandi</w:t>
      </w:r>
      <w:r w:rsidRPr="00D87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(evento 1.5 – autos de origem).</w:t>
      </w:r>
    </w:p>
    <w:p w14:paraId="59B3E92C" w14:textId="742A32CC" w:rsidR="006F5BA3" w:rsidRDefault="006F5BA3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Entrementes, a ofendida destacou conhecer Alex e ter uma relação de proximidade com</w:t>
      </w:r>
      <w:r w:rsidR="00AD77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seus familiares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 Referida constatação viabiliza, sob o prisma</w:t>
      </w:r>
      <w:r w:rsidR="00AD77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verossimilhança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 premissa dele possui</w:t>
      </w:r>
      <w:r w:rsidR="00AD7762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conhecimento sobre o longo período de ausência da vítima, que acompanha</w:t>
      </w:r>
      <w:r w:rsidR="00AD7762">
        <w:rPr>
          <w:rFonts w:ascii="Times New Roman" w:eastAsia="Times New Roman" w:hAnsi="Times New Roman" w:cs="Times New Roman"/>
          <w:sz w:val="24"/>
          <w:szCs w:val="24"/>
          <w:lang w:eastAsia="pt-BR"/>
        </w:rPr>
        <w:t>va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filho no hospital.</w:t>
      </w:r>
    </w:p>
    <w:p w14:paraId="3E6A1CC3" w14:textId="1EE132FA" w:rsidR="006F5BA3" w:rsidRDefault="006F5BA3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Há, portanto, confluência extrínseca a atribuir verossimilhança ao conteúdo informativo do interrogatório policial, em detrimento da versão apresentada por Jaison em juízo, oportunidade que negou a autoria delitiva.</w:t>
      </w:r>
    </w:p>
    <w:p w14:paraId="35440278" w14:textId="721C9C9E" w:rsidR="00D876D7" w:rsidRDefault="00D876D7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policial militar que atuou na ocorrência informou ter presenciado a confissão do acusado na seara investigativa</w:t>
      </w:r>
      <w:r w:rsidR="006F5BA3">
        <w:rPr>
          <w:rFonts w:ascii="Times New Roman" w:eastAsia="Times New Roman" w:hAnsi="Times New Roman" w:cs="Times New Roman"/>
          <w:sz w:val="24"/>
          <w:szCs w:val="24"/>
          <w:lang w:eastAsia="pt-BR"/>
        </w:rPr>
        <w:t>, circunstância que reafirma a veracidade da primeira versão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(evento 121.2 – autos de origem).</w:t>
      </w:r>
    </w:p>
    <w:p w14:paraId="6AA8FCF3" w14:textId="77777777" w:rsidR="007937A5" w:rsidRDefault="007937A5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estando fundamentada em elementos concretos que possibilitam conclusão positiva sobre a materialidade do crime de furto e sua autoria, a sentença deve ser mantida.</w:t>
      </w:r>
    </w:p>
    <w:p w14:paraId="05F7AA6D" w14:textId="5C665F62" w:rsidR="006F5BA3" w:rsidRDefault="006F5BA3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Consequência lógica do juízo positivo sobre autoria e materialidade do crime de furto é o afastamento da pretensão </w:t>
      </w:r>
      <w:r w:rsidR="007937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recursal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desclassificatória</w:t>
      </w:r>
      <w:r w:rsidR="007937A5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deduzida em favor de Jaison, flagrado em posse da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res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furtiva.</w:t>
      </w:r>
    </w:p>
    <w:p w14:paraId="5356466F" w14:textId="2FD8FD0C" w:rsidR="00FC51EF" w:rsidRDefault="00FC51EF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707E57" w14:textId="04AFABB7" w:rsidR="00FC51EF" w:rsidRDefault="00FC51EF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 – DA DOSIMETRIA DA PENA</w:t>
      </w:r>
    </w:p>
    <w:p w14:paraId="625B3AC2" w14:textId="4714AA64" w:rsidR="00FC51EF" w:rsidRDefault="007937A5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defesa postulou, de maneira inespecífica, a revisão das dosimetrias das penas, para fixação no mínimo legal.</w:t>
      </w:r>
    </w:p>
    <w:p w14:paraId="75788876" w14:textId="48A28840" w:rsidR="00D50B04" w:rsidRDefault="007937A5" w:rsidP="00D50B0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 penas-bases de ambos os apelantes foram exasperadas na culpabilidade, em razão da valoração negativa do concurso de agentes.</w:t>
      </w:r>
      <w:r w:rsidR="00D50B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Jaison, a sentença também considerou negativamente a presença de antecedentes criminais (evento 5.1 – autos de origem).</w:t>
      </w:r>
    </w:p>
    <w:p w14:paraId="1E51E9CD" w14:textId="7D1EB95F" w:rsidR="00D50B04" w:rsidRDefault="00D50B04" w:rsidP="00D50B0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valoração dos antecedentes decorre da inexorável presença de anotações criminais, com trânsito em julgado anterior ao crime em questão. Quanto à culpabilidade, o aumento resta justificado pelo concurso de qualificadoras. Ao passo em que uma serviu à readequação típica, a outra repercute na composição quantitativa da pena.</w:t>
      </w:r>
    </w:p>
    <w:p w14:paraId="1EBA644E" w14:textId="61287107" w:rsidR="00D50B04" w:rsidRDefault="00D50B04" w:rsidP="00D50B0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Sobre a multiplicidade de causas de readequação típica, eis o posicionamento do Superior Tribunal de Justiça:</w:t>
      </w:r>
    </w:p>
    <w:p w14:paraId="15FD6701" w14:textId="77777777" w:rsidR="00D50B04" w:rsidRPr="00D50B04" w:rsidRDefault="00D50B04" w:rsidP="00D50B04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</w:p>
    <w:p w14:paraId="7A7A54C0" w14:textId="44024C36" w:rsidR="00D50B04" w:rsidRDefault="00D50B04" w:rsidP="00D50B04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D50B04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AGRAVO REGIMENTAL NO AGRAVO EM RECURSO ESPECIAL. FURTO TRIPLAMENTE QUALIFICADO. CONCURSO DE AGENTES. ROMPIMENTO DE OBSTÁCULO. ESCALADA. DOSIMETRIA. QUALIFICADORA UTILIZADA DESLOCADA PARA A PRIMEIRA FASE. POSSIBILIDADE. PENA-BASE. QUANTUM DE AUMENTO. 1. </w:t>
      </w:r>
      <w:r w:rsidRPr="00D50B04">
        <w:rPr>
          <w:rFonts w:ascii="Times New Roman" w:eastAsia="Times New Roman" w:hAnsi="Times New Roman" w:cs="Times New Roman"/>
          <w:b/>
          <w:sz w:val="20"/>
          <w:szCs w:val="24"/>
          <w:lang w:eastAsia="pt-BR"/>
        </w:rPr>
        <w:t>Reconhecida a incidência de duas ou mais qualificadoras, uma delas poderá ser utilizada para tipificar a conduta como delito qualificado, promovendo a alteração do quantum de pena abstratamente previsto, sendo que as demais poderão ser valoradas na segunda fase da dosimetria, caso correspondam a uma das agravantes, ou como circunstância judicial, na primeira fase da etapa do critério trifásico, se não for prevista como agravante</w:t>
      </w:r>
      <w:r w:rsidRPr="00D50B04">
        <w:rPr>
          <w:rFonts w:ascii="Times New Roman" w:eastAsia="Times New Roman" w:hAnsi="Times New Roman" w:cs="Times New Roman"/>
          <w:sz w:val="20"/>
          <w:szCs w:val="24"/>
          <w:lang w:eastAsia="pt-BR"/>
        </w:rPr>
        <w:t>. 2. Na hipótese, o concurso de agentes foi valorado negativamente na culpabilidade e a escalada como circunstâncias do crime, justificando a majoração da pena-base. O rompimento de obstáculo, por sua vez, foi utilizado para qualificar o delito. 3. Considerando o silêncio do legislador, a doutrina e a jurisprudência estabeleceram dois critérios de incremento da pena-base, para cada circunstância judicial valorada negativamente, sendo o primeiro de 1/6 (um sexto) da mínima estipulada e outro de 1/8 (um oitavo) a incidir sobre o intervalo de condenação previsto no preceito secundário do tipo penal incriminador (ut, AgRg no AgRg nos EDcl no AREsp 1.617.439/PR, Rel. Ministro JOEL ILAN PACIORNIK, Quinta Turma, DJe 28/9/2020). 4. No caso dos autos, as instâncias ordinárias utilizaram o percentual de 1/8 entre o intervalo entre as penas máxima e mínima cominada ao delito (2-8 anos) para cada circunstância judicial valorada negativamente. Nada a reparar na pena-base do recorrente. 5. Agravo regimental a que se nega provimento.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D50B04">
        <w:rPr>
          <w:rFonts w:ascii="Times New Roman" w:eastAsia="Times New Roman" w:hAnsi="Times New Roman" w:cs="Times New Roman"/>
          <w:sz w:val="20"/>
          <w:szCs w:val="24"/>
          <w:lang w:eastAsia="pt-BR"/>
        </w:rPr>
        <w:t>(STJ - AgRg no AREsp: 2113232 TO 2022/0118666-0, Data de Julgamento: 21/06/2022, T5 - QUINTA TURMA, Data de Publicação: DJe 27/06/2022)</w:t>
      </w:r>
      <w:r w:rsidR="007C7A6F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14:paraId="28D9749F" w14:textId="77777777" w:rsidR="00D50B04" w:rsidRDefault="00D50B04" w:rsidP="00D50B0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 segunda etapa da dosimetria, não foram observadas circunstâncias legais para Alex. Para Jaison, operou-se a compensação entre a reincidência e a confissão espontânea.</w:t>
      </w:r>
    </w:p>
    <w:p w14:paraId="7A7700DA" w14:textId="77777777" w:rsidR="00D50B04" w:rsidRDefault="00D50B04" w:rsidP="00D50B0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Considerando a efetiva comprovação da condição de reincidente (evento 5.1 – autos de origem), reputa-se irretocável a disposição sentencial sobre correlata agravante.</w:t>
      </w:r>
    </w:p>
    <w:p w14:paraId="243BAA7B" w14:textId="7D954D12" w:rsidR="00D50B04" w:rsidRDefault="00D50B04" w:rsidP="00D50B0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 terceira fase, não foram consideradas causas de aumento ou diminuição.</w:t>
      </w:r>
    </w:p>
    <w:p w14:paraId="48BC9F81" w14:textId="07EDE9C6" w:rsidR="007937A5" w:rsidRDefault="00D50B04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segundo escrutínio do cálculo dosimétrico</w:t>
      </w:r>
      <w:r w:rsidR="007C7A6F">
        <w:rPr>
          <w:rFonts w:ascii="Times New Roman" w:eastAsia="Times New Roman" w:hAnsi="Times New Roman" w:cs="Times New Roman"/>
          <w:sz w:val="24"/>
          <w:szCs w:val="24"/>
          <w:lang w:eastAsia="pt-BR"/>
        </w:rPr>
        <w:t>, improcede o pleito recursal de fixação das penas no mínimo legal, porquanto presentes elementos fáticos concretos a ensejar os sobreditos aumentos.</w:t>
      </w:r>
    </w:p>
    <w:p w14:paraId="773874CC" w14:textId="77777777" w:rsidR="007C7A6F" w:rsidRDefault="007C7A6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90F9F9" w14:textId="4D2DF5B8" w:rsidR="00FC51EF" w:rsidRDefault="00FC51E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II.IV – DO REGIME INICIAL</w:t>
      </w:r>
    </w:p>
    <w:p w14:paraId="0F57B25D" w14:textId="339906AE" w:rsidR="00FC51EF" w:rsidRDefault="007C7A6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relação à Jaison, a fixação do regime inicial fechado encontra adequação normativa nas previsões do artigo 33, § 3º, artigo 59, inciso III, do Código Penal.</w:t>
      </w:r>
    </w:p>
    <w:p w14:paraId="10A2016D" w14:textId="2B7C0E9F" w:rsidR="007C7A6F" w:rsidRDefault="007C7A6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Ainda que a pena privativa de liberdade seja inferior a quatro anos, a presença de duas circunstâncias judiciais negativas e a reincidência, somadas, determinam imposição do regime inicial fechado.</w:t>
      </w:r>
    </w:p>
    <w:p w14:paraId="5149C5B3" w14:textId="0A4ECAD6" w:rsidR="007C7A6F" w:rsidRDefault="007C7A6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0BC81DB5" w14:textId="48DC3C4E" w:rsidR="007C7A6F" w:rsidRDefault="007C7A6F" w:rsidP="007C7A6F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A6F">
        <w:rPr>
          <w:rFonts w:ascii="Times New Roman" w:eastAsia="Times New Roman" w:hAnsi="Times New Roman" w:cs="Times New Roman"/>
          <w:sz w:val="20"/>
          <w:szCs w:val="24"/>
          <w:lang w:eastAsia="pt-BR"/>
        </w:rPr>
        <w:t>AGRAVO REGIMENTAL NO RECURSO ESPECIAL. FURTO SIMPLES TENTADO. RÉU REINCIDENTE. EXISTÊNCIA DE CIRCUNSTÂNCIA JUDICIAL DESFAVORÁVEL. PENA-BASE FIXADA ACIMA DO MÍNIMO LEGAL. PENA DEFINITIVA INFERIOR A 4 (QUATRO) ANOS DE RECLUSÃO. REGIME INICIAL FECHADO. POSSIBILIDADE. INAPLICABILIDADE DO ENUNCIADO N. 269 DA SÚMULA DO STJ. RECURSO DESPROVIDO. 1. Segundo o enunciado n. 269 da Súmula desta Corte, é admissível a fixação do regime prisional semiaberto ao réu reincidente condenado a pena igual ou inferior a quatro anos, quando favoráveis as circunstâncias judiciais. 2. Hipótese em que não se aplica o referido entendimento, porquanto o acusado, além de reincidente, ostenta circunstância judicial desfavorável, tanto que a pena-base foi fixada acima do mínimo legal. Assim, embora a pena seja inferior a 4 anos, não há óbice à fixação do regime fechado. 3. Agravo regimental improvido.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7C7A6F">
        <w:rPr>
          <w:rFonts w:ascii="Times New Roman" w:eastAsia="Times New Roman" w:hAnsi="Times New Roman" w:cs="Times New Roman"/>
          <w:sz w:val="20"/>
          <w:szCs w:val="24"/>
          <w:lang w:eastAsia="pt-BR"/>
        </w:rPr>
        <w:t>(STJ - AgRg no REsp: 1620526 SC 2016/0216929-0, Relator: Ministro REYNALDO SOARES DA FONSECA, Data de Julgamento: 15/12/2016, T5 - QUINTA TURMA, Data de Publicação: DJe 01/02/2017)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14:paraId="0938BF7F" w14:textId="25784BB9" w:rsidR="007C7A6F" w:rsidRDefault="007C7A6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 que toca Alex, apesar da presença de uma circunstância judicial desfavorável, inexiste outro fator de valoração a incidir na deliberação do regime prisional.</w:t>
      </w:r>
    </w:p>
    <w:p w14:paraId="12FDBFC4" w14:textId="672A3500" w:rsidR="007C7A6F" w:rsidRDefault="007C7A6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Nesse contexto, estabelecida a pena em patamar inferior a 4 (quatro) anos, e sendo desfavorável uma circunstância judicial, o regime semiaberto se mostra adequado para o cumprimento da pena privativa de liberdade, nos termos do artigo 33, §§ 2º e 3º, do Código Penal.</w:t>
      </w:r>
    </w:p>
    <w:p w14:paraId="594027F3" w14:textId="4E8221E2" w:rsidR="007C7A6F" w:rsidRDefault="007C7A6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Neste capítulo, portanto, reforma-se a sentença objurgada.</w:t>
      </w:r>
    </w:p>
    <w:p w14:paraId="1C4D466A" w14:textId="77777777" w:rsidR="007C7A6F" w:rsidRDefault="007C7A6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C73822" w14:textId="0535EB69" w:rsidR="00FC51EF" w:rsidRDefault="00FC51E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II.V – DA SUBSTITUIÇÃO DA PENA PRIVATIVA DE LIBERDADE POR RESTRITIVAS DE DIREITOS</w:t>
      </w:r>
    </w:p>
    <w:p w14:paraId="5E635E39" w14:textId="77777777" w:rsidR="00F96FE9" w:rsidRDefault="00F96FE9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detrimento do pleito de substituição da pena privativa por restritivas de direitos, a valoração negativa da culpabilidade obsta, a rigor do disposto no artigo 44, do Código Penal, o benefício pretendido.</w:t>
      </w:r>
    </w:p>
    <w:p w14:paraId="43320CD0" w14:textId="6B012C98" w:rsidR="007C7A6F" w:rsidRDefault="007C7A6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AADD03" w14:textId="32625308" w:rsidR="00FC51EF" w:rsidRDefault="00FC51E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II.VI – DA PRISÃO PREVENTIVA</w:t>
      </w:r>
    </w:p>
    <w:p w14:paraId="7447DD98" w14:textId="1E938946" w:rsidR="00AD7762" w:rsidRDefault="00AD7762" w:rsidP="00AD776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Como consequência da procedência parcial do recurso def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ensivo para alteração do regime inicial de Alex para o semiaberto, a prisão cautelar se mostra mais gravosa do que a pena definitiva.</w:t>
      </w:r>
    </w:p>
    <w:p w14:paraId="1D05F4EF" w14:textId="28760BC1" w:rsidR="00AD7762" w:rsidRDefault="00AD7762" w:rsidP="00AD776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Impõe-se, portanto, a imediata revogação da segregação cautelar, nos termos do artigo 316, do Código de Processo Penal, preservando-se o conteúdo normativo do princípio da homogeneidade.</w:t>
      </w:r>
    </w:p>
    <w:p w14:paraId="19BAED0B" w14:textId="77777777" w:rsidR="00AD7762" w:rsidRDefault="00AD7762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6E6332" w14:textId="1D15DB7B" w:rsidR="00FC51EF" w:rsidRDefault="00FC51E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II.VII – DOS HONORÁRIOS DATIVOS</w:t>
      </w:r>
    </w:p>
    <w:p w14:paraId="6A91CFBA" w14:textId="189B855E" w:rsidR="00F336E7" w:rsidRDefault="00F336E7" w:rsidP="00F336E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6D2F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o grau de zelo, o lugar de prestação do serviço, a natureza e importância da caus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FC6D2F">
        <w:rPr>
          <w:rFonts w:ascii="Times New Roman" w:eastAsia="Times New Roman" w:hAnsi="Times New Roman" w:cs="Times New Roman"/>
          <w:sz w:val="24"/>
          <w:szCs w:val="24"/>
          <w:lang w:eastAsia="pt-BR"/>
        </w:rPr>
        <w:t>, o trabalho realizado e tempo exigido, arbitra-se em R$ 800,00 (oitocentos reais) os honorários dativos em favor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advogada Cíntia Pscheidt (eventos 55.1 e 107.1).</w:t>
      </w:r>
    </w:p>
    <w:p w14:paraId="122E2B29" w14:textId="77777777" w:rsidR="00FC51EF" w:rsidRDefault="00FC51E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1F92BB" w14:textId="64B51687" w:rsidR="00FC51EF" w:rsidRDefault="00FC51E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II.VIII – DA CONCLUSÃO</w:t>
      </w:r>
    </w:p>
    <w:p w14:paraId="270576DF" w14:textId="5CDF26B3" w:rsidR="00FC51EF" w:rsidRDefault="00FC51E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Pelas premissas alinhavadas, a conclusão a ser adotada no presente caso consiste no conhecimento e provimento parcial do recurso, para fixar o regime inicial aberto ao apelante Alex Luan dos Santos.</w:t>
      </w:r>
    </w:p>
    <w:p w14:paraId="77DC97B6" w14:textId="77777777" w:rsidR="00FC51EF" w:rsidRDefault="00FC51EF" w:rsidP="00FC51E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798B1F" w14:textId="3CBC1B05" w:rsidR="00412E7C" w:rsidRPr="00D74F23" w:rsidRDefault="00FC51EF" w:rsidP="00FC51EF">
      <w:pPr>
        <w:spacing w:before="240" w:after="240" w:line="360" w:lineRule="auto"/>
        <w:ind w:firstLine="709"/>
        <w:jc w:val="both"/>
      </w:pPr>
      <w:r w:rsidRPr="00FC51E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 - DECISÃO</w:t>
      </w:r>
      <w:bookmarkEnd w:id="0"/>
    </w:p>
    <w:sectPr w:rsidR="00412E7C" w:rsidRPr="00D74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26"/>
    <w:rsid w:val="00001611"/>
    <w:rsid w:val="00007C57"/>
    <w:rsid w:val="00010D7D"/>
    <w:rsid w:val="000160BD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A1580"/>
    <w:rsid w:val="000A1845"/>
    <w:rsid w:val="000A2939"/>
    <w:rsid w:val="000A50E5"/>
    <w:rsid w:val="000B0707"/>
    <w:rsid w:val="000B081D"/>
    <w:rsid w:val="000B0F0C"/>
    <w:rsid w:val="000B1A3F"/>
    <w:rsid w:val="000C15F3"/>
    <w:rsid w:val="000C6FB3"/>
    <w:rsid w:val="000D324F"/>
    <w:rsid w:val="000D49BF"/>
    <w:rsid w:val="000D5CD1"/>
    <w:rsid w:val="000D62A2"/>
    <w:rsid w:val="000E2F5C"/>
    <w:rsid w:val="000E3D0A"/>
    <w:rsid w:val="000F1C40"/>
    <w:rsid w:val="000F2C6A"/>
    <w:rsid w:val="00101E92"/>
    <w:rsid w:val="0012195B"/>
    <w:rsid w:val="0012372F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CE1"/>
    <w:rsid w:val="002D4EB8"/>
    <w:rsid w:val="002D651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03FF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A43F7"/>
    <w:rsid w:val="003B513B"/>
    <w:rsid w:val="003B670A"/>
    <w:rsid w:val="003C7E9F"/>
    <w:rsid w:val="003E0B11"/>
    <w:rsid w:val="003F517F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627B"/>
    <w:rsid w:val="0046793C"/>
    <w:rsid w:val="00471D31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F0B40"/>
    <w:rsid w:val="004F1087"/>
    <w:rsid w:val="004F3F82"/>
    <w:rsid w:val="00502B69"/>
    <w:rsid w:val="005071BC"/>
    <w:rsid w:val="00513F9D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5BA3"/>
    <w:rsid w:val="006F602A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600A0"/>
    <w:rsid w:val="00762104"/>
    <w:rsid w:val="00763A34"/>
    <w:rsid w:val="007641DC"/>
    <w:rsid w:val="00767E9A"/>
    <w:rsid w:val="00772DB6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37A5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7A6F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4761"/>
    <w:rsid w:val="007F6C8D"/>
    <w:rsid w:val="008008BD"/>
    <w:rsid w:val="00803B89"/>
    <w:rsid w:val="0082036F"/>
    <w:rsid w:val="00821DB8"/>
    <w:rsid w:val="0082604B"/>
    <w:rsid w:val="0083227E"/>
    <w:rsid w:val="00843609"/>
    <w:rsid w:val="00846227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5AEF"/>
    <w:rsid w:val="009C1118"/>
    <w:rsid w:val="009C7E28"/>
    <w:rsid w:val="009D3B80"/>
    <w:rsid w:val="009D3FBD"/>
    <w:rsid w:val="009D5071"/>
    <w:rsid w:val="009D51F9"/>
    <w:rsid w:val="009D5D7D"/>
    <w:rsid w:val="009D73E9"/>
    <w:rsid w:val="009E5F1C"/>
    <w:rsid w:val="009F0509"/>
    <w:rsid w:val="009F2607"/>
    <w:rsid w:val="009F7E37"/>
    <w:rsid w:val="00A01B8C"/>
    <w:rsid w:val="00A0696C"/>
    <w:rsid w:val="00A1339F"/>
    <w:rsid w:val="00A233AA"/>
    <w:rsid w:val="00A35175"/>
    <w:rsid w:val="00A559CE"/>
    <w:rsid w:val="00A6119C"/>
    <w:rsid w:val="00A730B6"/>
    <w:rsid w:val="00A8064C"/>
    <w:rsid w:val="00A82B31"/>
    <w:rsid w:val="00A8725B"/>
    <w:rsid w:val="00A91602"/>
    <w:rsid w:val="00AA12F7"/>
    <w:rsid w:val="00AD7762"/>
    <w:rsid w:val="00AE125F"/>
    <w:rsid w:val="00AE29C5"/>
    <w:rsid w:val="00AE36A9"/>
    <w:rsid w:val="00AE4473"/>
    <w:rsid w:val="00AE4AB6"/>
    <w:rsid w:val="00AF4457"/>
    <w:rsid w:val="00AF58A2"/>
    <w:rsid w:val="00AF5D83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1453"/>
    <w:rsid w:val="00B46640"/>
    <w:rsid w:val="00B46AF3"/>
    <w:rsid w:val="00B4759A"/>
    <w:rsid w:val="00B54294"/>
    <w:rsid w:val="00B6675D"/>
    <w:rsid w:val="00B70EAC"/>
    <w:rsid w:val="00B75E6E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B4838"/>
    <w:rsid w:val="00BC04E6"/>
    <w:rsid w:val="00BC4ABE"/>
    <w:rsid w:val="00BC5C92"/>
    <w:rsid w:val="00BD684A"/>
    <w:rsid w:val="00BF033D"/>
    <w:rsid w:val="00C007C7"/>
    <w:rsid w:val="00C02481"/>
    <w:rsid w:val="00C029A5"/>
    <w:rsid w:val="00C0763E"/>
    <w:rsid w:val="00C112E3"/>
    <w:rsid w:val="00C173E7"/>
    <w:rsid w:val="00C216CB"/>
    <w:rsid w:val="00C306F2"/>
    <w:rsid w:val="00C31E33"/>
    <w:rsid w:val="00C3291B"/>
    <w:rsid w:val="00C3476D"/>
    <w:rsid w:val="00C54FEF"/>
    <w:rsid w:val="00C625AB"/>
    <w:rsid w:val="00C64FA8"/>
    <w:rsid w:val="00C74795"/>
    <w:rsid w:val="00C758D5"/>
    <w:rsid w:val="00C764F8"/>
    <w:rsid w:val="00C7769A"/>
    <w:rsid w:val="00C8735C"/>
    <w:rsid w:val="00C8769D"/>
    <w:rsid w:val="00C97D7A"/>
    <w:rsid w:val="00CA57DF"/>
    <w:rsid w:val="00CB0D85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548"/>
    <w:rsid w:val="00D44EA3"/>
    <w:rsid w:val="00D47C54"/>
    <w:rsid w:val="00D50B04"/>
    <w:rsid w:val="00D51523"/>
    <w:rsid w:val="00D523B2"/>
    <w:rsid w:val="00D741E5"/>
    <w:rsid w:val="00D74F23"/>
    <w:rsid w:val="00D753D8"/>
    <w:rsid w:val="00D810F5"/>
    <w:rsid w:val="00D814D3"/>
    <w:rsid w:val="00D84F9B"/>
    <w:rsid w:val="00D8742E"/>
    <w:rsid w:val="00D876D7"/>
    <w:rsid w:val="00DA0577"/>
    <w:rsid w:val="00DA4BD2"/>
    <w:rsid w:val="00DA5BFF"/>
    <w:rsid w:val="00DA6FF8"/>
    <w:rsid w:val="00DC0E99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0CD1"/>
    <w:rsid w:val="00E13163"/>
    <w:rsid w:val="00E17110"/>
    <w:rsid w:val="00E32EC6"/>
    <w:rsid w:val="00E41DC6"/>
    <w:rsid w:val="00E46924"/>
    <w:rsid w:val="00E46F5F"/>
    <w:rsid w:val="00E544D7"/>
    <w:rsid w:val="00E61DDD"/>
    <w:rsid w:val="00E70EA8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D7"/>
    <w:rsid w:val="00ED47AD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36E7"/>
    <w:rsid w:val="00F355C7"/>
    <w:rsid w:val="00F40581"/>
    <w:rsid w:val="00F4269A"/>
    <w:rsid w:val="00F4476F"/>
    <w:rsid w:val="00F46D67"/>
    <w:rsid w:val="00F50730"/>
    <w:rsid w:val="00F56BB2"/>
    <w:rsid w:val="00F60064"/>
    <w:rsid w:val="00F60AB3"/>
    <w:rsid w:val="00F718E9"/>
    <w:rsid w:val="00F933D7"/>
    <w:rsid w:val="00F94657"/>
    <w:rsid w:val="00F96FE9"/>
    <w:rsid w:val="00FA110F"/>
    <w:rsid w:val="00FB1209"/>
    <w:rsid w:val="00FB3400"/>
    <w:rsid w:val="00FB4645"/>
    <w:rsid w:val="00FB646C"/>
    <w:rsid w:val="00FC4A1F"/>
    <w:rsid w:val="00FC4AFB"/>
    <w:rsid w:val="00FC51EF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6AE90C-1BFA-4AAD-8B46-CD3E83329D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AF61BB-9820-4A87-B297-1A4FA114EE82}"/>
</file>

<file path=customXml/itemProps3.xml><?xml version="1.0" encoding="utf-8"?>
<ds:datastoreItem xmlns:ds="http://schemas.openxmlformats.org/officeDocument/2006/customXml" ds:itemID="{7893C35C-477A-40B7-BF97-64B45EDC6D7F}"/>
</file>

<file path=customXml/itemProps4.xml><?xml version="1.0" encoding="utf-8"?>
<ds:datastoreItem xmlns:ds="http://schemas.openxmlformats.org/officeDocument/2006/customXml" ds:itemID="{E0C6A85F-3BE4-43A6-B518-01C643B3D9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8</Pages>
  <Words>2038</Words>
  <Characters>11009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13</cp:revision>
  <cp:lastPrinted>2023-02-01T16:46:00Z</cp:lastPrinted>
  <dcterms:created xsi:type="dcterms:W3CDTF">2023-06-15T19:39:00Z</dcterms:created>
  <dcterms:modified xsi:type="dcterms:W3CDTF">2024-02-01T18:11:00Z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323800</vt:r8>
  </property>
</Properties>
</file>