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031AC" w14:textId="1424A89B" w:rsidR="00A3761F" w:rsidRPr="00A3761F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3761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DIREITO</w:t>
      </w:r>
      <w:r w:rsidR="008F734F" w:rsidRPr="00A3761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PENAL E PROCESSUAL PENAL. EMBARGOS DE DECLARAÇÃO. ERRO MATERIAL.</w:t>
      </w:r>
      <w:r w:rsidR="00DF0B95" w:rsidRPr="00A3761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PRINCÍPIO DA LEGALIDADE. </w:t>
      </w:r>
      <w:r w:rsidR="00A3761F" w:rsidRPr="00A3761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CONTRADIÇÃO. DEPOIMENTO DA VÍTIMA. LIVRE CONVENCIMENTO.</w:t>
      </w:r>
      <w:r w:rsidR="00A3761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A3761F" w:rsidRPr="00A3761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OBSCURIDADE. REGIME FECHADO.</w:t>
      </w:r>
    </w:p>
    <w:p w14:paraId="52C9D9D7" w14:textId="77777777" w:rsidR="000E6E40" w:rsidRPr="00A3761F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3761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I. CASO EM EXAME</w:t>
      </w:r>
    </w:p>
    <w:p w14:paraId="54259BDC" w14:textId="66C8F55F" w:rsidR="00F92E29" w:rsidRPr="00CA1867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CA18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Embargos </w:t>
      </w:r>
      <w:r w:rsidR="00F92E29" w:rsidRPr="00CA18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de declaração interpostos contra acórdão </w:t>
      </w:r>
      <w:r w:rsidR="006632A8" w:rsidRPr="00CA18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que </w:t>
      </w:r>
      <w:r w:rsidR="00C820B2" w:rsidRPr="00CA18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deu provimento a recurso do Ministério Público para afastar a causa de diminuição do § 4º do art. 33 da Lei n. 11.</w:t>
      </w:r>
      <w:r w:rsidR="004F3A89" w:rsidRPr="00CA18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343 de 2006</w:t>
      </w:r>
      <w:r w:rsidR="00CA1867" w:rsidRPr="00CA18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4F3A89" w:rsidRPr="00CA18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 condenar o réu pela prática do crime previsto no artigo 129, § 9º, do Código Penal</w:t>
      </w:r>
      <w:r w:rsidR="009701A2" w:rsidRPr="00CA18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2455FF4F" w14:textId="3F6C563A" w:rsidR="00D30244" w:rsidRPr="009F44C5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F44C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 QUEST</w:t>
      </w:r>
      <w:r w:rsidR="00D30244" w:rsidRPr="009F44C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ÕES EM DISCUSSÃO</w:t>
      </w:r>
    </w:p>
    <w:p w14:paraId="09EFD537" w14:textId="34D3CD62" w:rsidR="009701A2" w:rsidRPr="009F44C5" w:rsidRDefault="009701A2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F44C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II.I.</w:t>
      </w:r>
      <w:r w:rsidR="004D46D2" w:rsidRPr="009F44C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Erro material </w:t>
      </w:r>
      <w:r w:rsidR="005A308E" w:rsidRPr="009F44C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consistente na aplicação de lei penal </w:t>
      </w:r>
      <w:r w:rsidR="007F585F" w:rsidRPr="009F44C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mais </w:t>
      </w:r>
      <w:r w:rsidR="009F44C5" w:rsidRPr="009F44C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grave</w:t>
      </w:r>
      <w:r w:rsidR="005A308E" w:rsidRPr="009F44C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, em detrimento de lei penal benéfica, vigente ao tempo do fato.</w:t>
      </w:r>
    </w:p>
    <w:p w14:paraId="566B2009" w14:textId="32B55647" w:rsidR="009701A2" w:rsidRPr="009F44C5" w:rsidRDefault="009701A2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F44C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II.II.</w:t>
      </w:r>
      <w:r w:rsidR="005A308E" w:rsidRPr="009F44C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9F44C5" w:rsidRPr="009F44C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Omissão na valoração do depoimento pessoal da vítima, que se retratou em juízo.</w:t>
      </w:r>
    </w:p>
    <w:p w14:paraId="49734F06" w14:textId="73F55075" w:rsidR="009F44C5" w:rsidRPr="009F44C5" w:rsidRDefault="009F44C5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F44C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II.III. Obscuridade caracterizada pela ausência de fundamentação para aplicação do regime inicial fechado.</w:t>
      </w:r>
    </w:p>
    <w:p w14:paraId="12850568" w14:textId="50D354DA" w:rsidR="000E6E40" w:rsidRPr="007F585F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7F585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 RAZÕES DE DECIDIR</w:t>
      </w:r>
    </w:p>
    <w:p w14:paraId="6CB086E2" w14:textId="499FE0DC" w:rsidR="007F585F" w:rsidRPr="007F585F" w:rsidRDefault="00F402DF" w:rsidP="007F585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7F585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</w:t>
      </w:r>
      <w:r w:rsidR="007F585F" w:rsidRPr="007F585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II.I. Os embargos de declaração prestam-se a esclarecer obscuridade, eliminar contradição, suprir omissão ou corrigir erro material, sendo defesa sua utilização como sucedâneo recursal para manifestação de mero inconformismo.</w:t>
      </w:r>
    </w:p>
    <w:p w14:paraId="2531FB2A" w14:textId="70048C9D" w:rsidR="000E6E40" w:rsidRPr="007F585F" w:rsidRDefault="007F585F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7F585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III.II. </w:t>
      </w:r>
      <w:r w:rsidR="00F402DF" w:rsidRPr="007F585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 aplicação de lei penal posterior, que enseja situação penal mais grave, constitui erro material sanável pela via dos embargos de declaração.</w:t>
      </w:r>
    </w:p>
    <w:p w14:paraId="097D2F16" w14:textId="77777777" w:rsidR="000E6E40" w:rsidRPr="0091037D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1037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IV. SOLUÇÃO DO CASO</w:t>
      </w:r>
    </w:p>
    <w:p w14:paraId="228414A5" w14:textId="0ACD3721" w:rsidR="000E6E40" w:rsidRPr="0091037D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1037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Recurso conhecido e </w:t>
      </w:r>
      <w:r w:rsidR="0091037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parcialmente </w:t>
      </w:r>
      <w:r w:rsidR="00D400AA" w:rsidRPr="0091037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provido</w:t>
      </w:r>
      <w:r w:rsidRPr="0091037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4018B384" w14:textId="77777777" w:rsidR="000E6E40" w:rsidRPr="0091037D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1037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 JURISPRUDÊNCIA E LEGISLAÇÃO UTILIZADAS</w:t>
      </w:r>
    </w:p>
    <w:p w14:paraId="1EE6213F" w14:textId="65F4C268" w:rsidR="00872692" w:rsidRPr="003724B0" w:rsidRDefault="00872692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724B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V.I. </w:t>
      </w:r>
      <w:r w:rsidR="000E6E40" w:rsidRPr="003724B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Jurisprudência</w:t>
      </w:r>
    </w:p>
    <w:p w14:paraId="54B78D85" w14:textId="20BCFEC3" w:rsidR="00D400AA" w:rsidRPr="003724B0" w:rsidRDefault="00D400AA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724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STJ. Quinta Turma. Relator: Ministro Joel Ilan Paciornik. AgRg no REsp n. 1.998.980/GO. Data de Julgamento: 08-05-2023. Data de Publicação: 10-05-2023;</w:t>
      </w:r>
    </w:p>
    <w:p w14:paraId="7AF968B7" w14:textId="39430158" w:rsidR="00981B46" w:rsidRPr="003724B0" w:rsidRDefault="00981B46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724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STJ. 1ª Seção. Relator: Ministro Mauro Campbell Marques. EDcl. no AgRg. nos EAREsp. n. 620.940/RS. Data de Julgamento: 14-09-2016. Data de Publicação: 21-09-2016</w:t>
      </w:r>
      <w:r w:rsidR="003724B0" w:rsidRPr="003724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</w:p>
    <w:p w14:paraId="44622358" w14:textId="7706A367" w:rsidR="00872692" w:rsidRPr="0091037D" w:rsidRDefault="00872692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724B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</w:t>
      </w:r>
      <w:r w:rsidRPr="0091037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.II. </w:t>
      </w:r>
      <w:r w:rsidR="000E6E40" w:rsidRPr="0091037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Legislação</w:t>
      </w:r>
    </w:p>
    <w:p w14:paraId="10231ABD" w14:textId="1348996A" w:rsidR="00014589" w:rsidRPr="0091037D" w:rsidRDefault="002A1505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1037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Código Penal:</w:t>
      </w:r>
      <w:r w:rsidR="00135A6C" w:rsidRPr="0091037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4C0441" w:rsidRPr="0091037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art. 33, §</w:t>
      </w:r>
      <w:r w:rsidR="003724B0" w:rsidRPr="0091037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§ 2º</w:t>
      </w:r>
      <w:r w:rsidR="00014589" w:rsidRPr="0091037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, ‘b’; art. </w:t>
      </w:r>
      <w:r w:rsidR="00280974" w:rsidRPr="0091037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33, § 3º; art. 59</w:t>
      </w:r>
      <w:r w:rsidR="009E2057" w:rsidRPr="0091037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, III;</w:t>
      </w:r>
      <w:r w:rsidR="00755146" w:rsidRPr="0091037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art. 44; art. 77, II; art. 129, §9º</w:t>
      </w:r>
      <w:r w:rsidR="0091037D" w:rsidRPr="0091037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1A148FC7" w14:textId="1B3A6EAE" w:rsidR="0091037D" w:rsidRPr="0091037D" w:rsidRDefault="0091037D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1037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Código de Processo Penal: art. 619.</w:t>
      </w:r>
    </w:p>
    <w:p w14:paraId="4F7E0032" w14:textId="45FD9F12" w:rsidR="0091037D" w:rsidRPr="0091037D" w:rsidRDefault="0091037D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1037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Lei de Execução Penal: art. 111.</w:t>
      </w:r>
    </w:p>
    <w:p w14:paraId="241249C2" w14:textId="77777777" w:rsidR="00FB27C5" w:rsidRDefault="00D74F2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400E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14:paraId="2184896A" w14:textId="06849FBA" w:rsidR="00BC6D03" w:rsidRDefault="003F76F3" w:rsidP="00190048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F76F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Cuida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-se de embargos de</w:t>
      </w:r>
      <w:r w:rsidR="00F3054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declaração </w:t>
      </w:r>
      <w:r w:rsidR="002A437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interpostos </w:t>
      </w:r>
      <w:r w:rsidR="000720C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por Márcio Scabora em face de Ministério Público do Estado do Paraná, </w:t>
      </w:r>
      <w:r w:rsidR="007A3C6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tendo como objeto o v. acórdão proferido pela </w:t>
      </w:r>
      <w:r w:rsidR="00BC6D0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colenda 3ª Câmara Criminal do Tribunal de Justiça do Estado do Paraná</w:t>
      </w:r>
      <w:r w:rsidR="0008095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(evento 78.1 – Ap).</w:t>
      </w:r>
    </w:p>
    <w:p w14:paraId="3762BCBC" w14:textId="7F5EDFFE" w:rsidR="00080956" w:rsidRDefault="00080956" w:rsidP="005D439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Eis, em síntese, as razões de inconformismo:</w:t>
      </w:r>
      <w:r w:rsidR="005C4BD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1B574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a) erro material, na </w:t>
      </w:r>
      <w:r w:rsidR="00BE2AC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dosimetria da pena, decorrente da aplicação de preceito secundário que não vigia ao tempo dos fatos</w:t>
      </w:r>
      <w:r w:rsidR="000F543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, em violação ao princípio da legalidade;</w:t>
      </w:r>
      <w:r w:rsidR="005C4BD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887BC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b) </w:t>
      </w:r>
      <w:r w:rsidR="003B33B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obscuridade sobre os fundamentos para aplicação do regime fechado ao crime de tráfico ilícito de entorpecentes</w:t>
      </w:r>
      <w:r w:rsidR="00FA66F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; </w:t>
      </w:r>
      <w:r w:rsidR="005C4BD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c) contradição na valoração do depoimento pessoal da vítima (evento 1.1).</w:t>
      </w:r>
    </w:p>
    <w:p w14:paraId="7E02B267" w14:textId="38B16EF2" w:rsidR="00FA66FC" w:rsidRDefault="000F543F" w:rsidP="00FA66FC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5C24D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Nas contrarrazões, o</w:t>
      </w:r>
      <w:r w:rsidR="001F221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Ministério Público se manifestou pelo conhecimento e parcial pro</w:t>
      </w:r>
      <w:r w:rsidR="00BF46B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vimento do recurso </w:t>
      </w:r>
      <w:r w:rsidR="00FA66F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(evento 10.1).</w:t>
      </w:r>
    </w:p>
    <w:p w14:paraId="40367DF6" w14:textId="28AD5A41" w:rsidR="003F76F3" w:rsidRDefault="004A0DEA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É o necessário relato.</w:t>
      </w:r>
    </w:p>
    <w:p w14:paraId="09AF598E" w14:textId="77777777" w:rsidR="004A0DEA" w:rsidRDefault="004A0DEA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14:paraId="552CAA17" w14:textId="77777777" w:rsidR="003F76F3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60160">
        <w:rPr>
          <w:rFonts w:ascii="Times New Roman" w:hAnsi="Times New Roman" w:cs="Times New Roman"/>
          <w:b/>
          <w:sz w:val="24"/>
          <w:szCs w:val="24"/>
        </w:rPr>
        <w:t>II – FUNDAMENTAÇÃO</w:t>
      </w:r>
    </w:p>
    <w:p w14:paraId="3C68F9C2" w14:textId="77777777" w:rsidR="00E71385" w:rsidRPr="00C727D6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JUÍZO DE 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>ADMISSIBILIDADE</w:t>
      </w:r>
    </w:p>
    <w:p w14:paraId="22426A3C" w14:textId="48BA322F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Satisfeitos os pressupostos de admissibilidade recursal, conhecem-se dos embargos de declaração </w:t>
      </w:r>
      <w:r w:rsidR="003835C9">
        <w:rPr>
          <w:rFonts w:ascii="Times New Roman" w:eastAsia="Times New Roman" w:hAnsi="Times New Roman" w:cs="Times New Roman"/>
          <w:sz w:val="24"/>
          <w:szCs w:val="24"/>
          <w:lang w:eastAsia="pt-BR"/>
        </w:rPr>
        <w:t>inter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postos.</w:t>
      </w:r>
    </w:p>
    <w:p w14:paraId="68F242B5" w14:textId="7777777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E9B16B4" w14:textId="3D13ABAE" w:rsidR="00080956" w:rsidRDefault="00B52898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II.II – DO ERRO MATERIAL</w:t>
      </w:r>
    </w:p>
    <w:p w14:paraId="4F365334" w14:textId="5D15762F" w:rsidR="00B52898" w:rsidRDefault="00E5477E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Sustenta o</w:t>
      </w:r>
      <w:r w:rsidR="00FA66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embargante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acometimento do </w:t>
      </w:r>
      <w:r w:rsidR="009254B4">
        <w:rPr>
          <w:rFonts w:ascii="Times New Roman" w:eastAsia="Times New Roman" w:hAnsi="Times New Roman" w:cs="Times New Roman"/>
          <w:sz w:val="24"/>
          <w:szCs w:val="24"/>
          <w:lang w:eastAsia="pt-BR"/>
        </w:rPr>
        <w:t>julgado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erro material, consistente</w:t>
      </w:r>
      <w:r w:rsidR="009254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aplicação </w:t>
      </w:r>
      <w:r w:rsidR="001B07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</w:t>
      </w:r>
      <w:r w:rsidR="009254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preceito </w:t>
      </w:r>
      <w:r w:rsidR="00641E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secundário </w:t>
      </w:r>
      <w:r w:rsidR="009254B4">
        <w:rPr>
          <w:rFonts w:ascii="Times New Roman" w:eastAsia="Times New Roman" w:hAnsi="Times New Roman" w:cs="Times New Roman"/>
          <w:sz w:val="24"/>
          <w:szCs w:val="24"/>
          <w:lang w:eastAsia="pt-BR"/>
        </w:rPr>
        <w:t>do artigo 129, § 9º</w:t>
      </w:r>
      <w:r w:rsidR="00860262">
        <w:rPr>
          <w:rFonts w:ascii="Times New Roman" w:eastAsia="Times New Roman" w:hAnsi="Times New Roman" w:cs="Times New Roman"/>
          <w:sz w:val="24"/>
          <w:szCs w:val="24"/>
          <w:lang w:eastAsia="pt-BR"/>
        </w:rPr>
        <w:t>, do Código Penal</w:t>
      </w:r>
      <w:r w:rsidR="001B07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 </w:t>
      </w:r>
      <w:r w:rsidR="00781516">
        <w:rPr>
          <w:rFonts w:ascii="Times New Roman" w:eastAsia="Times New Roman" w:hAnsi="Times New Roman" w:cs="Times New Roman"/>
          <w:sz w:val="24"/>
          <w:szCs w:val="24"/>
          <w:lang w:eastAsia="pt-BR"/>
        </w:rPr>
        <w:t>resposta penal</w:t>
      </w:r>
      <w:r w:rsidR="001B07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mais gravosa do que aquela vigente ao tempo dos fatos.</w:t>
      </w:r>
    </w:p>
    <w:p w14:paraId="00CD3EC5" w14:textId="470B43C8" w:rsidR="00D57CD2" w:rsidRDefault="00FA66FC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Neste ponto, </w:t>
      </w:r>
      <w:r w:rsidR="00D57CD2">
        <w:rPr>
          <w:rFonts w:ascii="Times New Roman" w:eastAsia="Times New Roman" w:hAnsi="Times New Roman" w:cs="Times New Roman"/>
          <w:sz w:val="24"/>
          <w:szCs w:val="24"/>
          <w:lang w:eastAsia="pt-BR"/>
        </w:rPr>
        <w:t>simetricamente à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solução jurídica aplicada </w:t>
      </w:r>
      <w:r w:rsidR="00A1205B">
        <w:rPr>
          <w:rFonts w:ascii="Times New Roman" w:eastAsia="Times New Roman" w:hAnsi="Times New Roman" w:cs="Times New Roman"/>
          <w:sz w:val="24"/>
          <w:szCs w:val="24"/>
          <w:lang w:eastAsia="pt-BR"/>
        </w:rPr>
        <w:t>ao recurso do Ministério Público</w:t>
      </w:r>
      <w:r w:rsidR="00D57C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(autos n. </w:t>
      </w:r>
      <w:r w:rsidR="00A1205B" w:rsidRPr="00A1205B">
        <w:rPr>
          <w:rFonts w:ascii="Times New Roman" w:eastAsia="Times New Roman" w:hAnsi="Times New Roman" w:cs="Times New Roman"/>
          <w:sz w:val="24"/>
          <w:szCs w:val="24"/>
          <w:lang w:eastAsia="pt-BR"/>
        </w:rPr>
        <w:t>0000374-73.2025.8.16.0113 ED</w:t>
      </w:r>
      <w:r w:rsidR="000D764B">
        <w:rPr>
          <w:rFonts w:ascii="Times New Roman" w:eastAsia="Times New Roman" w:hAnsi="Times New Roman" w:cs="Times New Roman"/>
          <w:sz w:val="24"/>
          <w:szCs w:val="24"/>
          <w:lang w:eastAsia="pt-BR"/>
        </w:rPr>
        <w:t>), o recurso deve ser provido.</w:t>
      </w:r>
    </w:p>
    <w:p w14:paraId="0FF1DFCC" w14:textId="7615B1EA" w:rsidR="001B0785" w:rsidRDefault="006E250C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="00982674">
        <w:rPr>
          <w:rFonts w:ascii="Times New Roman" w:eastAsia="Times New Roman" w:hAnsi="Times New Roman" w:cs="Times New Roman"/>
          <w:sz w:val="24"/>
          <w:szCs w:val="24"/>
          <w:lang w:eastAsia="pt-BR"/>
        </w:rPr>
        <w:t>s fatos apurados nesta relação processual foram praticados aos 15-11-2021, quando vi</w:t>
      </w:r>
      <w:r w:rsidR="00004267">
        <w:rPr>
          <w:rFonts w:ascii="Times New Roman" w:eastAsia="Times New Roman" w:hAnsi="Times New Roman" w:cs="Times New Roman"/>
          <w:sz w:val="24"/>
          <w:szCs w:val="24"/>
          <w:lang w:eastAsia="pt-BR"/>
        </w:rPr>
        <w:t>gora</w:t>
      </w:r>
      <w:r w:rsidR="00781516">
        <w:rPr>
          <w:rFonts w:ascii="Times New Roman" w:eastAsia="Times New Roman" w:hAnsi="Times New Roman" w:cs="Times New Roman"/>
          <w:sz w:val="24"/>
          <w:szCs w:val="24"/>
          <w:lang w:eastAsia="pt-BR"/>
        </w:rPr>
        <w:t>va</w:t>
      </w:r>
      <w:r w:rsidR="000042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  <w:r w:rsidR="002273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04267">
        <w:rPr>
          <w:rFonts w:ascii="Times New Roman" w:eastAsia="Times New Roman" w:hAnsi="Times New Roman" w:cs="Times New Roman"/>
          <w:sz w:val="24"/>
          <w:szCs w:val="24"/>
          <w:lang w:eastAsia="pt-BR"/>
        </w:rPr>
        <w:t>Lei n.</w:t>
      </w:r>
      <w:r w:rsidR="002273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11.340 de 2006, </w:t>
      </w:r>
      <w:r w:rsidR="003C2355">
        <w:rPr>
          <w:rFonts w:ascii="Times New Roman" w:eastAsia="Times New Roman" w:hAnsi="Times New Roman" w:cs="Times New Roman"/>
          <w:sz w:val="24"/>
          <w:szCs w:val="24"/>
          <w:lang w:eastAsia="pt-BR"/>
        </w:rPr>
        <w:t>que previa pena de 3 (três) meses a 3 (três) anos de detenção ao tipo do artigo 129, § 9º, do Código Penal.</w:t>
      </w:r>
    </w:p>
    <w:p w14:paraId="66A0DC8E" w14:textId="594BC112" w:rsidR="003C2355" w:rsidRDefault="00412103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Assim, para retificação do erro material constatado, </w:t>
      </w:r>
      <w:r w:rsidR="003B3238">
        <w:rPr>
          <w:rFonts w:ascii="Times New Roman" w:eastAsia="Times New Roman" w:hAnsi="Times New Roman" w:cs="Times New Roman"/>
          <w:sz w:val="24"/>
          <w:szCs w:val="24"/>
          <w:lang w:eastAsia="pt-BR"/>
        </w:rPr>
        <w:t>passa-se ao refazimento da dosimetria da pena,</w:t>
      </w:r>
      <w:r w:rsidR="002568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preser</w:t>
      </w:r>
      <w:r w:rsidR="00312152">
        <w:rPr>
          <w:rFonts w:ascii="Times New Roman" w:eastAsia="Times New Roman" w:hAnsi="Times New Roman" w:cs="Times New Roman"/>
          <w:sz w:val="24"/>
          <w:szCs w:val="24"/>
          <w:lang w:eastAsia="pt-BR"/>
        </w:rPr>
        <w:t>vando-se as métricas aplicadas no venerando acórdão</w:t>
      </w:r>
      <w:r w:rsidR="00944BB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F9F69F0" w14:textId="18FF0C87" w:rsidR="00357B70" w:rsidRDefault="00357B70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7B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primeira fase da dosimetria, consideram-se extraordinariamente reprováveis as circunstâncias do crime, permeado pela gravíssima dispersão de álcool e ameaça de </w:t>
      </w:r>
      <w:r w:rsidR="00D04A7C">
        <w:rPr>
          <w:rFonts w:ascii="Times New Roman" w:eastAsia="Times New Roman" w:hAnsi="Times New Roman" w:cs="Times New Roman"/>
          <w:sz w:val="24"/>
          <w:szCs w:val="24"/>
          <w:lang w:eastAsia="pt-BR"/>
        </w:rPr>
        <w:t>carbonização</w:t>
      </w:r>
      <w:r w:rsidRPr="00357B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vítima, no mesmo contexto em que praticadas as lesões corporais.</w:t>
      </w:r>
    </w:p>
    <w:p w14:paraId="025C8AFD" w14:textId="1F1AA299" w:rsidR="00357B70" w:rsidRDefault="00357B70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7B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Indigitada circunstância, extraída dos depoimentos da própria vítima e dos agentes de segurança pública, conduz ao incremento da pena-base como forma de aquilatar a quantidade de pena ao imperativo legal de reprovação de prevenção através da medida de tempo da pena, nos termos do artigo 59 do Código Penal. As demais circunstâncias </w:t>
      </w:r>
      <w:r w:rsidR="006E5408" w:rsidRPr="00357B70">
        <w:rPr>
          <w:rFonts w:ascii="Times New Roman" w:eastAsia="Times New Roman" w:hAnsi="Times New Roman" w:cs="Times New Roman"/>
          <w:sz w:val="24"/>
          <w:szCs w:val="24"/>
          <w:lang w:eastAsia="pt-BR"/>
        </w:rPr>
        <w:t>judiciais</w:t>
      </w:r>
      <w:r w:rsidRPr="00357B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ensejam valoração negativa.</w:t>
      </w:r>
    </w:p>
    <w:p w14:paraId="321CD9AA" w14:textId="35D34324" w:rsidR="006E5408" w:rsidRDefault="00357B70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7B70">
        <w:rPr>
          <w:rFonts w:ascii="Times New Roman" w:eastAsia="Times New Roman" w:hAnsi="Times New Roman" w:cs="Times New Roman"/>
          <w:sz w:val="24"/>
          <w:szCs w:val="24"/>
          <w:lang w:eastAsia="pt-BR"/>
        </w:rPr>
        <w:t>Eleva-se, pois, a pena-base em 1/8 (um oitavo) do intervalo entre as penas mínima e máxima abstratamente cominadas ao delito, estabelecendo</w:t>
      </w:r>
      <w:r w:rsidR="006E5408"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r w:rsidRPr="00357B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="00D73EEF">
        <w:rPr>
          <w:rFonts w:ascii="Times New Roman" w:eastAsia="Times New Roman" w:hAnsi="Times New Roman" w:cs="Times New Roman"/>
          <w:sz w:val="24"/>
          <w:szCs w:val="24"/>
          <w:lang w:eastAsia="pt-BR"/>
        </w:rPr>
        <w:t>em 7 (sete) meses e 2 (dois) dias de detenção.</w:t>
      </w:r>
    </w:p>
    <w:p w14:paraId="1EC35AAF" w14:textId="497621E4" w:rsidR="00357B70" w:rsidRDefault="00357B70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7B70">
        <w:rPr>
          <w:rFonts w:ascii="Times New Roman" w:eastAsia="Times New Roman" w:hAnsi="Times New Roman" w:cs="Times New Roman"/>
          <w:sz w:val="24"/>
          <w:szCs w:val="24"/>
          <w:lang w:eastAsia="pt-BR"/>
        </w:rPr>
        <w:t>Na segunda etapa, o fato de o crime ter sido praticado em contexto de violência contra a mulher atrai a incidência da agravante prevista no artigo 61, inciso II, ‘f’, do Código Penal.</w:t>
      </w:r>
    </w:p>
    <w:p w14:paraId="04F04C9B" w14:textId="5B386D3B" w:rsidR="00357B70" w:rsidRDefault="00357B70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7B7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 propósito, a causa de readequação típica do § 9º do artigo 129 do Código Penal coabita harmonicamente com a agravante ora aplicada, não havendo falar em </w:t>
      </w:r>
      <w:r w:rsidRPr="002E6D0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bis in idem</w:t>
      </w:r>
      <w:r w:rsidRPr="00357B7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6B799BF" w14:textId="2018A403" w:rsidR="00357B70" w:rsidRDefault="00357B70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7B70">
        <w:rPr>
          <w:rFonts w:ascii="Times New Roman" w:eastAsia="Times New Roman" w:hAnsi="Times New Roman" w:cs="Times New Roman"/>
          <w:sz w:val="24"/>
          <w:szCs w:val="24"/>
          <w:lang w:eastAsia="pt-BR"/>
        </w:rPr>
        <w:t>Sobre o tema:</w:t>
      </w:r>
    </w:p>
    <w:p w14:paraId="35E0FF37" w14:textId="77777777" w:rsidR="009852E5" w:rsidRDefault="009852E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449A1D" w14:textId="10CC5D94" w:rsidR="00E4454E" w:rsidRDefault="00357B70" w:rsidP="009852E5">
      <w:pPr>
        <w:spacing w:after="240" w:line="360" w:lineRule="auto"/>
        <w:ind w:left="2268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852E5">
        <w:rPr>
          <w:rFonts w:ascii="Times New Roman" w:eastAsia="Times New Roman" w:hAnsi="Times New Roman" w:cs="Times New Roman"/>
          <w:sz w:val="20"/>
          <w:szCs w:val="20"/>
          <w:lang w:eastAsia="pt-BR"/>
        </w:rPr>
        <w:t>PENAL. AGRAVO REGIMENTAL NO RECURSO ESPECIAL. PENAL. ART. 129, § 9º, DO CÓDIGO PENAL - CP. LESÃO CORPORAL DOMÉSTICA. DOSIMETRIA DA PENA.</w:t>
      </w:r>
      <w:r w:rsidR="009852E5" w:rsidRPr="009852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APLICAÇÃO CONJUNTA DO ART. 61, II, "F", DO CP. BIS IN IDEM NÃO CONFIGURADO. AGRAVO REGIMENTAL DESPROVIDO. 1. A aplicação da agravante prevista no art. 61, II, "f", do CP, em condenação pelo delito do art. 129, § 9º, do CP, por si só, não configura bis in idem. O tipo penal em sua forma qualificada tutela a violência doméstica, enquanto a redação da agravante, em sua parte final, tutela isoladamente a violência contra a mulher. 2. Agravo regimental desprovido. (STJ. Quinta Turma. Relator: Ministro Joel Ilan Paciornik. AgRg no REsp n. 1.998.980/GO. Data de Julgamento: 08-05-2023. Data de Publicação: 10-05-2023).</w:t>
      </w:r>
    </w:p>
    <w:p w14:paraId="3EEE532B" w14:textId="77777777" w:rsidR="009852E5" w:rsidRPr="009852E5" w:rsidRDefault="009852E5" w:rsidP="009852E5">
      <w:pPr>
        <w:spacing w:after="240" w:line="360" w:lineRule="auto"/>
        <w:ind w:left="2268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26C5B2A3" w14:textId="3040706C" w:rsidR="002E6D01" w:rsidRDefault="009852E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52E5">
        <w:rPr>
          <w:rFonts w:ascii="Times New Roman" w:eastAsia="Times New Roman" w:hAnsi="Times New Roman" w:cs="Times New Roman"/>
          <w:sz w:val="24"/>
          <w:szCs w:val="24"/>
          <w:lang w:eastAsia="pt-BR"/>
        </w:rPr>
        <w:t>Assim, agrava-se a pena intermediária em 1/6 (um sexto) da pena-base, fixando-a em</w:t>
      </w:r>
      <w:r w:rsidR="001028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F36735">
        <w:rPr>
          <w:rFonts w:ascii="Times New Roman" w:eastAsia="Times New Roman" w:hAnsi="Times New Roman" w:cs="Times New Roman"/>
          <w:sz w:val="24"/>
          <w:szCs w:val="24"/>
          <w:lang w:eastAsia="pt-BR"/>
        </w:rPr>
        <w:t>8 (oito) meses e 7 (sete) dias de detenção.</w:t>
      </w:r>
    </w:p>
    <w:p w14:paraId="70DCFD24" w14:textId="77777777" w:rsidR="009852E5" w:rsidRDefault="009852E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52E5">
        <w:rPr>
          <w:rFonts w:ascii="Times New Roman" w:eastAsia="Times New Roman" w:hAnsi="Times New Roman" w:cs="Times New Roman"/>
          <w:sz w:val="24"/>
          <w:szCs w:val="24"/>
          <w:lang w:eastAsia="pt-BR"/>
        </w:rPr>
        <w:t>Na terceira fase, inexistem causas de aumento ou diminuição de pena.</w:t>
      </w:r>
    </w:p>
    <w:p w14:paraId="5A8C5539" w14:textId="77777777" w:rsidR="002B6CFB" w:rsidRDefault="009852E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5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razão do </w:t>
      </w:r>
      <w:r w:rsidRPr="009852E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quantum</w:t>
      </w:r>
      <w:r w:rsidRPr="00985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pena aplicado e da existência de circunstância judicial negativa, fixa-se o regime inicial semiaberto, na forma do artigo 33, §2º, ‘b’, do Código Penal.</w:t>
      </w:r>
    </w:p>
    <w:p w14:paraId="55AFC447" w14:textId="5C5C433D" w:rsidR="009852E5" w:rsidRDefault="009852E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52E5">
        <w:rPr>
          <w:rFonts w:ascii="Times New Roman" w:eastAsia="Times New Roman" w:hAnsi="Times New Roman" w:cs="Times New Roman"/>
          <w:sz w:val="24"/>
          <w:szCs w:val="24"/>
          <w:lang w:eastAsia="pt-BR"/>
        </w:rPr>
        <w:t>Tratando-se de crime praticado mediante violência, inviável a substituição da pena privativa de liberdade por restritiva de direitos (CP, art. 44). Igualmente incabível, ademais, o instituto da suspensão condicional da pena, posto que as gravíssimas circunstâncias não autorizam a concessão do benefício (CP, art. 77, II).</w:t>
      </w:r>
    </w:p>
    <w:p w14:paraId="270DBE8E" w14:textId="3F229374" w:rsidR="00944BB6" w:rsidRDefault="00944BB6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Assim, considerando-se a condenação pelo crime de tráfico ilícito de entorpecentes, </w:t>
      </w:r>
      <w:r w:rsidR="00763A47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944BB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plicada a regra de cúmulo material, prevista no artigo 69 do Código Penal, </w:t>
      </w:r>
      <w:r w:rsidR="00763A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resulta a pena definitiva do réu em 5 (cinco) anos de reclusão em regime inicial fechado; </w:t>
      </w:r>
      <w:r w:rsidR="00763A4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8 (oito) meses e 7 (sete) dias de detenção</w:t>
      </w:r>
      <w:r w:rsidR="00F024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regime inicial semiaberto</w:t>
      </w:r>
      <w:r w:rsidR="00A831CF">
        <w:rPr>
          <w:rFonts w:ascii="Times New Roman" w:eastAsia="Times New Roman" w:hAnsi="Times New Roman" w:cs="Times New Roman"/>
          <w:sz w:val="24"/>
          <w:szCs w:val="24"/>
          <w:lang w:eastAsia="pt-BR"/>
        </w:rPr>
        <w:t>; e 500 (quinhentos) dias-multa, a 1/30 (um trigésimo) do salário-mínimo.</w:t>
      </w:r>
    </w:p>
    <w:p w14:paraId="6AA47FF9" w14:textId="1F4424EC" w:rsidR="007F718A" w:rsidRDefault="007F718A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Por fim, tratando-se de penas de natureza distinta, detenção e reclusão, não se aplica ao caso o preceptivo do artigo 111 da Lei de Execução Penal.</w:t>
      </w:r>
    </w:p>
    <w:p w14:paraId="14B4CD18" w14:textId="77777777" w:rsidR="007F718A" w:rsidRDefault="007F718A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ABBEA5B" w14:textId="2133D182" w:rsidR="00080956" w:rsidRDefault="00B52898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II.III – DA </w:t>
      </w:r>
      <w:r w:rsidR="00721C19">
        <w:rPr>
          <w:rFonts w:ascii="Times New Roman" w:eastAsia="Times New Roman" w:hAnsi="Times New Roman" w:cs="Times New Roman"/>
          <w:sz w:val="24"/>
          <w:szCs w:val="24"/>
          <w:lang w:eastAsia="pt-BR"/>
        </w:rPr>
        <w:t>OBSCURIDADE E CONTRADIÇÃO</w:t>
      </w:r>
    </w:p>
    <w:p w14:paraId="44775ADC" w14:textId="574502B8" w:rsidR="001C7335" w:rsidRDefault="001C1FD5" w:rsidP="001C1FD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exame do pronunciamento judicial hostilizado, em cotejo com as razões de inconformismo, constata-se que as pretensões </w:t>
      </w:r>
      <w:r w:rsidR="007A1865">
        <w:rPr>
          <w:rFonts w:ascii="Times New Roman" w:eastAsia="Times New Roman" w:hAnsi="Times New Roman" w:cs="Times New Roman"/>
          <w:sz w:val="24"/>
          <w:szCs w:val="24"/>
          <w:lang w:eastAsia="pt-BR"/>
        </w:rPr>
        <w:t>declaratórias, relativas ao</w:t>
      </w:r>
      <w:r w:rsidR="001C7335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7A18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fundamentos para o regime fechado e a valoração da prova, constituem manifesto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inconformismo com a solução jurídica adotada, hipótese incompatível com o perfil normativo do artigo </w:t>
      </w:r>
      <w:r w:rsidR="001C7335">
        <w:rPr>
          <w:rFonts w:ascii="Times New Roman" w:eastAsia="Times New Roman" w:hAnsi="Times New Roman" w:cs="Times New Roman"/>
          <w:sz w:val="24"/>
          <w:szCs w:val="24"/>
          <w:lang w:eastAsia="pt-BR"/>
        </w:rPr>
        <w:t>619 do Código de Processo Penal.</w:t>
      </w:r>
    </w:p>
    <w:p w14:paraId="5132EED9" w14:textId="77777777" w:rsidR="001C1FD5" w:rsidRDefault="001C1FD5" w:rsidP="001C1FD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propósito do tema:</w:t>
      </w:r>
    </w:p>
    <w:p w14:paraId="2A01E54F" w14:textId="77777777" w:rsidR="001C1FD5" w:rsidRDefault="001C1FD5" w:rsidP="001C1FD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5C6BF73" w14:textId="77777777" w:rsidR="001C1FD5" w:rsidRDefault="001C1FD5" w:rsidP="001C1FD5">
      <w:pPr>
        <w:spacing w:after="240" w:line="360" w:lineRule="auto"/>
        <w:ind w:left="2268"/>
        <w:jc w:val="both"/>
        <w:rPr>
          <w:rFonts w:ascii="Times New Roman" w:hAnsi="Times New Roman" w:cs="Times New Roman"/>
          <w:sz w:val="20"/>
        </w:rPr>
      </w:pPr>
      <w:r w:rsidRPr="005E3E78">
        <w:rPr>
          <w:rFonts w:ascii="Times New Roman" w:hAnsi="Times New Roman" w:cs="Times New Roman"/>
          <w:sz w:val="20"/>
        </w:rPr>
        <w:t xml:space="preserve">PROCESSUAL CIVIL. ENUNCIADO ADMINISTRATIVO Nº 03/STJ. EMBARGOS DE DECLARAÇÃO. INEXISTÊNCIA DE VÍCIOS NO JULGADO. REDISCUSSÃO DE MATÉRIA JÁ DECIDIDA. IMPOSSIBILIDADE. </w:t>
      </w:r>
      <w:r w:rsidRPr="001F4679">
        <w:rPr>
          <w:rFonts w:ascii="Times New Roman" w:hAnsi="Times New Roman" w:cs="Times New Roman"/>
          <w:b/>
          <w:sz w:val="20"/>
        </w:rPr>
        <w:t xml:space="preserve">1. Os embargos de declaração têm a finalidade simples e única de completar, aclarar ou corrigir uma decisão omissa, obscura ou contraditória. Não são destinados à adequação do decisum ao entendimento da parte embargante, nem ao acolhimento de pretensões que refletem mero inconformismo, e, menos ainda, à rediscussão de questão já resolvida. Precedentes. </w:t>
      </w:r>
      <w:r w:rsidRPr="005E3E78">
        <w:rPr>
          <w:rFonts w:ascii="Times New Roman" w:hAnsi="Times New Roman" w:cs="Times New Roman"/>
          <w:sz w:val="20"/>
        </w:rPr>
        <w:t>2. A análise das razões recursais revela a pretensão da parte em alterar o resultado do decisum, o que é inviável nesta seara recursal. 3. Embargos de declaração r</w:t>
      </w:r>
      <w:r>
        <w:rPr>
          <w:rFonts w:ascii="Times New Roman" w:hAnsi="Times New Roman" w:cs="Times New Roman"/>
          <w:sz w:val="20"/>
        </w:rPr>
        <w:t>ejeitados. (STJ. 1ª Seção. Relator: Ministro Mauro Campbell Marques.</w:t>
      </w:r>
      <w:r w:rsidRPr="005E3E78">
        <w:rPr>
          <w:rFonts w:ascii="Times New Roman" w:hAnsi="Times New Roman" w:cs="Times New Roman"/>
          <w:sz w:val="20"/>
        </w:rPr>
        <w:t xml:space="preserve"> EDcl. no AgRg. nos EAREsp. n. 620.940/RS</w:t>
      </w:r>
      <w:r>
        <w:rPr>
          <w:rFonts w:ascii="Times New Roman" w:hAnsi="Times New Roman" w:cs="Times New Roman"/>
          <w:sz w:val="20"/>
        </w:rPr>
        <w:t>. Data de Julgamento: 14-09-2016. Data de Publicação: 21-09-2016).</w:t>
      </w:r>
    </w:p>
    <w:p w14:paraId="54AB57A6" w14:textId="77777777" w:rsidR="001C1FD5" w:rsidRDefault="001C1FD5" w:rsidP="001C1FD5">
      <w:pPr>
        <w:spacing w:after="240" w:line="360" w:lineRule="auto"/>
        <w:jc w:val="both"/>
        <w:rPr>
          <w:rFonts w:ascii="Times New Roman" w:hAnsi="Times New Roman" w:cs="Times New Roman"/>
          <w:sz w:val="20"/>
        </w:rPr>
      </w:pPr>
    </w:p>
    <w:p w14:paraId="4C4E4FF9" w14:textId="77777777" w:rsidR="001C1FD5" w:rsidRDefault="001C1FD5" w:rsidP="001C1FD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Todas as teses jurídicas veiculadas foram objeto de percuciente análise e a respectiva decisão, exposta mediante fundamentação plena, sem nenhuma contradição, omissão, obscuridade ou erro material.</w:t>
      </w:r>
    </w:p>
    <w:p w14:paraId="66EFB9E6" w14:textId="59312D2F" w:rsidR="009E2057" w:rsidRDefault="00286EB3" w:rsidP="001C1FD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</w:t>
      </w:r>
      <w:r w:rsidR="005816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adoção do regime inicial fechado, para o tráfico ilícito de entorpecentes, fundamentou-se no </w:t>
      </w:r>
      <w:r w:rsidR="005816A5" w:rsidRPr="005816A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quantum</w:t>
      </w:r>
      <w:r w:rsidR="005816A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r w:rsidR="005816A5">
        <w:rPr>
          <w:rFonts w:ascii="Times New Roman" w:eastAsia="Times New Roman" w:hAnsi="Times New Roman" w:cs="Times New Roman"/>
          <w:sz w:val="24"/>
          <w:szCs w:val="24"/>
          <w:lang w:eastAsia="pt-BR"/>
        </w:rPr>
        <w:t>de pena e na existência de circunstâncias judiciais negativas, em estrita observância ao art</w:t>
      </w:r>
      <w:r w:rsidR="00785F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igo </w:t>
      </w:r>
      <w:r w:rsidR="00BF4A24">
        <w:rPr>
          <w:rFonts w:ascii="Times New Roman" w:eastAsia="Times New Roman" w:hAnsi="Times New Roman" w:cs="Times New Roman"/>
          <w:sz w:val="24"/>
          <w:szCs w:val="24"/>
          <w:lang w:eastAsia="pt-BR"/>
        </w:rPr>
        <w:t>33, §2º</w:t>
      </w:r>
      <w:r w:rsidR="00785F50">
        <w:rPr>
          <w:rFonts w:ascii="Times New Roman" w:eastAsia="Times New Roman" w:hAnsi="Times New Roman" w:cs="Times New Roman"/>
          <w:sz w:val="24"/>
          <w:szCs w:val="24"/>
          <w:lang w:eastAsia="pt-BR"/>
        </w:rPr>
        <w:t>, ao artigo 33, §3º e ao artigo 59, III, do Código Penal.</w:t>
      </w:r>
    </w:p>
    <w:p w14:paraId="4756D9A0" w14:textId="3F76D96F" w:rsidR="00BF4A24" w:rsidRPr="005816A5" w:rsidRDefault="00BF4A24" w:rsidP="001C1FD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Ademais, a valoração sobre o conteúdo do depoimento da vítima foi realizada em cotejo com o conjunto probatório</w:t>
      </w:r>
      <w:r w:rsidR="00981B46">
        <w:rPr>
          <w:rFonts w:ascii="Times New Roman" w:eastAsia="Times New Roman" w:hAnsi="Times New Roman" w:cs="Times New Roman"/>
          <w:sz w:val="24"/>
          <w:szCs w:val="24"/>
          <w:lang w:eastAsia="pt-BR"/>
        </w:rPr>
        <w:t>, sem nenhuma contradição lógica, tanto assim entendida a incompatibilidade entre premissas ou premissa e conclusão.</w:t>
      </w:r>
    </w:p>
    <w:p w14:paraId="1AD22D79" w14:textId="6730F360" w:rsidR="001C1FD5" w:rsidRDefault="001C1FD5" w:rsidP="001C1FD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Portanto, ausente propósito de colmatação, e sendo evidente a pretensão de rediscussão do julgado, não se excogita o provimento do recurso</w:t>
      </w:r>
      <w:r w:rsidR="00981B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nos referidos capítulos.</w:t>
      </w:r>
    </w:p>
    <w:p w14:paraId="0C272F56" w14:textId="77777777" w:rsidR="001C1FD5" w:rsidRDefault="001C1FD5" w:rsidP="001C1FD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557C45" w14:textId="33D42C86" w:rsidR="002E4C4B" w:rsidRDefault="00B52898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II.IV – </w:t>
      </w:r>
      <w:r w:rsidR="002E4C4B">
        <w:rPr>
          <w:rFonts w:ascii="Times New Roman" w:eastAsia="Times New Roman" w:hAnsi="Times New Roman" w:cs="Times New Roman"/>
          <w:sz w:val="24"/>
          <w:szCs w:val="24"/>
          <w:lang w:eastAsia="pt-BR"/>
        </w:rPr>
        <w:t>DA CONCLUSÃO</w:t>
      </w:r>
    </w:p>
    <w:p w14:paraId="2A3B6E79" w14:textId="73B1780E" w:rsidR="00080956" w:rsidRDefault="00B52898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Pela conjugação das premissas alinhavadas, a conclusão a ser adotada consiste em</w:t>
      </w:r>
      <w:r w:rsidR="00FA66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conhecer e dar parcial provimento ao recurso.</w:t>
      </w:r>
    </w:p>
    <w:p w14:paraId="4A5BACDB" w14:textId="28B7B22F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 como voto.</w:t>
      </w:r>
    </w:p>
    <w:p w14:paraId="2F25F3EC" w14:textId="77777777" w:rsidR="007D706F" w:rsidRDefault="007D706F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B5B889" w14:textId="6D70CA86" w:rsidR="003835C9" w:rsidRPr="002E4C4B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E4C4B">
        <w:rPr>
          <w:rFonts w:ascii="Times New Roman" w:hAnsi="Times New Roman" w:cs="Times New Roman"/>
          <w:b/>
          <w:sz w:val="24"/>
          <w:szCs w:val="24"/>
        </w:rPr>
        <w:t xml:space="preserve">III </w:t>
      </w:r>
      <w:r w:rsidR="003F76F3" w:rsidRPr="002E4C4B">
        <w:rPr>
          <w:rFonts w:ascii="Times New Roman" w:hAnsi="Times New Roman" w:cs="Times New Roman"/>
          <w:b/>
          <w:sz w:val="24"/>
          <w:szCs w:val="24"/>
        </w:rPr>
        <w:t>–</w:t>
      </w:r>
      <w:r w:rsidRPr="002E4C4B">
        <w:rPr>
          <w:rFonts w:ascii="Times New Roman" w:hAnsi="Times New Roman" w:cs="Times New Roman"/>
          <w:b/>
          <w:sz w:val="24"/>
          <w:szCs w:val="24"/>
        </w:rPr>
        <w:t xml:space="preserve"> DECISÃO</w:t>
      </w:r>
    </w:p>
    <w:sectPr w:rsidR="003835C9" w:rsidRPr="002E4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DB12AE" w14:textId="77777777" w:rsidR="004A2793" w:rsidRDefault="004A2793" w:rsidP="00647C71">
      <w:pPr>
        <w:spacing w:after="0" w:line="240" w:lineRule="auto"/>
      </w:pPr>
      <w:r>
        <w:separator/>
      </w:r>
    </w:p>
  </w:endnote>
  <w:endnote w:type="continuationSeparator" w:id="0">
    <w:p w14:paraId="41EFF74E" w14:textId="77777777" w:rsidR="004A2793" w:rsidRDefault="004A2793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B73E5D" w14:textId="77777777" w:rsidR="004A2793" w:rsidRDefault="004A2793" w:rsidP="00647C71">
      <w:pPr>
        <w:spacing w:after="0" w:line="240" w:lineRule="auto"/>
      </w:pPr>
      <w:r>
        <w:separator/>
      </w:r>
    </w:p>
  </w:footnote>
  <w:footnote w:type="continuationSeparator" w:id="0">
    <w:p w14:paraId="45A024AC" w14:textId="77777777" w:rsidR="004A2793" w:rsidRDefault="004A2793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95214825">
    <w:abstractNumId w:val="1"/>
  </w:num>
  <w:num w:numId="2" w16cid:durableId="1809395550">
    <w:abstractNumId w:val="6"/>
  </w:num>
  <w:num w:numId="3" w16cid:durableId="1978492850">
    <w:abstractNumId w:val="5"/>
  </w:num>
  <w:num w:numId="4" w16cid:durableId="1890416001">
    <w:abstractNumId w:val="4"/>
  </w:num>
  <w:num w:numId="5" w16cid:durableId="1044672355">
    <w:abstractNumId w:val="3"/>
  </w:num>
  <w:num w:numId="6" w16cid:durableId="808397163">
    <w:abstractNumId w:val="0"/>
  </w:num>
  <w:num w:numId="7" w16cid:durableId="1224829788">
    <w:abstractNumId w:val="7"/>
  </w:num>
  <w:num w:numId="8" w16cid:durableId="1296644228">
    <w:abstractNumId w:val="8"/>
  </w:num>
  <w:num w:numId="9" w16cid:durableId="9012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26"/>
    <w:rsid w:val="00001611"/>
    <w:rsid w:val="00004267"/>
    <w:rsid w:val="00007C57"/>
    <w:rsid w:val="00010D7D"/>
    <w:rsid w:val="00014589"/>
    <w:rsid w:val="000160BD"/>
    <w:rsid w:val="000167D1"/>
    <w:rsid w:val="00020043"/>
    <w:rsid w:val="00022B72"/>
    <w:rsid w:val="000251F6"/>
    <w:rsid w:val="00026881"/>
    <w:rsid w:val="000306E0"/>
    <w:rsid w:val="00032A45"/>
    <w:rsid w:val="000374DD"/>
    <w:rsid w:val="0004000E"/>
    <w:rsid w:val="000419E4"/>
    <w:rsid w:val="00046137"/>
    <w:rsid w:val="00051782"/>
    <w:rsid w:val="000536CB"/>
    <w:rsid w:val="00055888"/>
    <w:rsid w:val="000574CD"/>
    <w:rsid w:val="000578C0"/>
    <w:rsid w:val="0006301E"/>
    <w:rsid w:val="0006738E"/>
    <w:rsid w:val="00070921"/>
    <w:rsid w:val="000720CE"/>
    <w:rsid w:val="00074A6B"/>
    <w:rsid w:val="000753E6"/>
    <w:rsid w:val="00075CD3"/>
    <w:rsid w:val="000771EB"/>
    <w:rsid w:val="00080956"/>
    <w:rsid w:val="00082633"/>
    <w:rsid w:val="00082DAD"/>
    <w:rsid w:val="000A1580"/>
    <w:rsid w:val="000A1845"/>
    <w:rsid w:val="000A2939"/>
    <w:rsid w:val="000A50E5"/>
    <w:rsid w:val="000B0707"/>
    <w:rsid w:val="000B081D"/>
    <w:rsid w:val="000B0AA8"/>
    <w:rsid w:val="000B0F0C"/>
    <w:rsid w:val="000B1A3F"/>
    <w:rsid w:val="000B5F0E"/>
    <w:rsid w:val="000C15F3"/>
    <w:rsid w:val="000C6FB3"/>
    <w:rsid w:val="000D324F"/>
    <w:rsid w:val="000D49BF"/>
    <w:rsid w:val="000D5CD1"/>
    <w:rsid w:val="000D62A2"/>
    <w:rsid w:val="000D764B"/>
    <w:rsid w:val="000E2F5C"/>
    <w:rsid w:val="000E3D0A"/>
    <w:rsid w:val="000E6E40"/>
    <w:rsid w:val="000F1C40"/>
    <w:rsid w:val="000F2C6A"/>
    <w:rsid w:val="000F543F"/>
    <w:rsid w:val="00101E92"/>
    <w:rsid w:val="00102896"/>
    <w:rsid w:val="00111E75"/>
    <w:rsid w:val="00112CF4"/>
    <w:rsid w:val="0012195B"/>
    <w:rsid w:val="0012372F"/>
    <w:rsid w:val="00126C21"/>
    <w:rsid w:val="001302DC"/>
    <w:rsid w:val="00135A6C"/>
    <w:rsid w:val="001441FD"/>
    <w:rsid w:val="00144B56"/>
    <w:rsid w:val="001505AA"/>
    <w:rsid w:val="00151BE6"/>
    <w:rsid w:val="001539AF"/>
    <w:rsid w:val="00153CFF"/>
    <w:rsid w:val="00156C0C"/>
    <w:rsid w:val="0016094B"/>
    <w:rsid w:val="00160FA5"/>
    <w:rsid w:val="00166E6B"/>
    <w:rsid w:val="0018045A"/>
    <w:rsid w:val="00185B6E"/>
    <w:rsid w:val="00190005"/>
    <w:rsid w:val="00190048"/>
    <w:rsid w:val="001911F4"/>
    <w:rsid w:val="00191D4B"/>
    <w:rsid w:val="001920B4"/>
    <w:rsid w:val="001A011D"/>
    <w:rsid w:val="001A632C"/>
    <w:rsid w:val="001B065C"/>
    <w:rsid w:val="001B0785"/>
    <w:rsid w:val="001B5746"/>
    <w:rsid w:val="001C1FD5"/>
    <w:rsid w:val="001C39D3"/>
    <w:rsid w:val="001C4B3A"/>
    <w:rsid w:val="001C7335"/>
    <w:rsid w:val="001D13E2"/>
    <w:rsid w:val="001D5521"/>
    <w:rsid w:val="001E01CC"/>
    <w:rsid w:val="001E2D26"/>
    <w:rsid w:val="001E469B"/>
    <w:rsid w:val="001E5BD5"/>
    <w:rsid w:val="001E61D7"/>
    <w:rsid w:val="001E626B"/>
    <w:rsid w:val="001F0BD9"/>
    <w:rsid w:val="001F2216"/>
    <w:rsid w:val="001F26A9"/>
    <w:rsid w:val="001F4679"/>
    <w:rsid w:val="001F5639"/>
    <w:rsid w:val="001F62E9"/>
    <w:rsid w:val="00201354"/>
    <w:rsid w:val="0021113B"/>
    <w:rsid w:val="0021140D"/>
    <w:rsid w:val="00211D89"/>
    <w:rsid w:val="00211FD6"/>
    <w:rsid w:val="0021477B"/>
    <w:rsid w:val="00214D4B"/>
    <w:rsid w:val="00215E32"/>
    <w:rsid w:val="00222CD8"/>
    <w:rsid w:val="00223C73"/>
    <w:rsid w:val="0022498C"/>
    <w:rsid w:val="00226F44"/>
    <w:rsid w:val="002273EC"/>
    <w:rsid w:val="002275AF"/>
    <w:rsid w:val="0023019E"/>
    <w:rsid w:val="002372A2"/>
    <w:rsid w:val="002438A8"/>
    <w:rsid w:val="00243C8A"/>
    <w:rsid w:val="00250B16"/>
    <w:rsid w:val="00250CAB"/>
    <w:rsid w:val="00251BE7"/>
    <w:rsid w:val="0025651B"/>
    <w:rsid w:val="00256848"/>
    <w:rsid w:val="00260675"/>
    <w:rsid w:val="002665C0"/>
    <w:rsid w:val="002703E3"/>
    <w:rsid w:val="00271947"/>
    <w:rsid w:val="0027299B"/>
    <w:rsid w:val="00280974"/>
    <w:rsid w:val="00286EB3"/>
    <w:rsid w:val="00293E14"/>
    <w:rsid w:val="00294EBC"/>
    <w:rsid w:val="002A1505"/>
    <w:rsid w:val="002A270B"/>
    <w:rsid w:val="002A4117"/>
    <w:rsid w:val="002A4379"/>
    <w:rsid w:val="002A7461"/>
    <w:rsid w:val="002A798A"/>
    <w:rsid w:val="002B370A"/>
    <w:rsid w:val="002B48B3"/>
    <w:rsid w:val="002B6CFB"/>
    <w:rsid w:val="002C0F37"/>
    <w:rsid w:val="002C62E9"/>
    <w:rsid w:val="002D03B9"/>
    <w:rsid w:val="002D2306"/>
    <w:rsid w:val="002D2AC8"/>
    <w:rsid w:val="002D4EB8"/>
    <w:rsid w:val="002D4FAD"/>
    <w:rsid w:val="002D651A"/>
    <w:rsid w:val="002E41AA"/>
    <w:rsid w:val="002E4C4B"/>
    <w:rsid w:val="002E64B7"/>
    <w:rsid w:val="002E6D01"/>
    <w:rsid w:val="002E71A0"/>
    <w:rsid w:val="002E7B89"/>
    <w:rsid w:val="002F0485"/>
    <w:rsid w:val="002F35CF"/>
    <w:rsid w:val="002F37D9"/>
    <w:rsid w:val="002F78A8"/>
    <w:rsid w:val="00304E90"/>
    <w:rsid w:val="00305348"/>
    <w:rsid w:val="00305698"/>
    <w:rsid w:val="00307E50"/>
    <w:rsid w:val="00312152"/>
    <w:rsid w:val="003149C3"/>
    <w:rsid w:val="00320E85"/>
    <w:rsid w:val="0032286D"/>
    <w:rsid w:val="00323689"/>
    <w:rsid w:val="00331431"/>
    <w:rsid w:val="00332DED"/>
    <w:rsid w:val="00332E93"/>
    <w:rsid w:val="00334726"/>
    <w:rsid w:val="00337B87"/>
    <w:rsid w:val="003415A6"/>
    <w:rsid w:val="00341797"/>
    <w:rsid w:val="00344252"/>
    <w:rsid w:val="00351055"/>
    <w:rsid w:val="00351EBD"/>
    <w:rsid w:val="00352D21"/>
    <w:rsid w:val="00352F11"/>
    <w:rsid w:val="00354D9B"/>
    <w:rsid w:val="00357B70"/>
    <w:rsid w:val="0036114E"/>
    <w:rsid w:val="00361C7B"/>
    <w:rsid w:val="00364B3D"/>
    <w:rsid w:val="00365AAA"/>
    <w:rsid w:val="0036786F"/>
    <w:rsid w:val="003724B0"/>
    <w:rsid w:val="00375DC5"/>
    <w:rsid w:val="00376120"/>
    <w:rsid w:val="00377569"/>
    <w:rsid w:val="00380F70"/>
    <w:rsid w:val="00382463"/>
    <w:rsid w:val="003835C9"/>
    <w:rsid w:val="00391B76"/>
    <w:rsid w:val="003A3857"/>
    <w:rsid w:val="003A43F7"/>
    <w:rsid w:val="003B3238"/>
    <w:rsid w:val="003B33B5"/>
    <w:rsid w:val="003B44F2"/>
    <w:rsid w:val="003B513B"/>
    <w:rsid w:val="003B6475"/>
    <w:rsid w:val="003C2355"/>
    <w:rsid w:val="003C7E9F"/>
    <w:rsid w:val="003D0C37"/>
    <w:rsid w:val="003D27A5"/>
    <w:rsid w:val="003E0B11"/>
    <w:rsid w:val="003E4448"/>
    <w:rsid w:val="003F0626"/>
    <w:rsid w:val="003F506D"/>
    <w:rsid w:val="003F517F"/>
    <w:rsid w:val="003F76F3"/>
    <w:rsid w:val="00406AFA"/>
    <w:rsid w:val="00406FD8"/>
    <w:rsid w:val="00412103"/>
    <w:rsid w:val="00412E7C"/>
    <w:rsid w:val="00414571"/>
    <w:rsid w:val="00415A21"/>
    <w:rsid w:val="004178DE"/>
    <w:rsid w:val="004350B9"/>
    <w:rsid w:val="0043568B"/>
    <w:rsid w:val="004365EC"/>
    <w:rsid w:val="004370D3"/>
    <w:rsid w:val="0043718D"/>
    <w:rsid w:val="00440350"/>
    <w:rsid w:val="00444E6D"/>
    <w:rsid w:val="00444E7B"/>
    <w:rsid w:val="004452B0"/>
    <w:rsid w:val="004478E9"/>
    <w:rsid w:val="00460159"/>
    <w:rsid w:val="0046475D"/>
    <w:rsid w:val="004670FF"/>
    <w:rsid w:val="0046793C"/>
    <w:rsid w:val="00471D31"/>
    <w:rsid w:val="00481F56"/>
    <w:rsid w:val="0048354C"/>
    <w:rsid w:val="00483D1A"/>
    <w:rsid w:val="00483F6A"/>
    <w:rsid w:val="004848C3"/>
    <w:rsid w:val="00487AA0"/>
    <w:rsid w:val="0049046F"/>
    <w:rsid w:val="00493D6A"/>
    <w:rsid w:val="00497A76"/>
    <w:rsid w:val="004A0DEA"/>
    <w:rsid w:val="004A155F"/>
    <w:rsid w:val="004A2186"/>
    <w:rsid w:val="004A2793"/>
    <w:rsid w:val="004A7651"/>
    <w:rsid w:val="004B3805"/>
    <w:rsid w:val="004B63B4"/>
    <w:rsid w:val="004C0441"/>
    <w:rsid w:val="004C0C0E"/>
    <w:rsid w:val="004C3883"/>
    <w:rsid w:val="004C5BD8"/>
    <w:rsid w:val="004C6221"/>
    <w:rsid w:val="004C6EFE"/>
    <w:rsid w:val="004D3620"/>
    <w:rsid w:val="004D46D2"/>
    <w:rsid w:val="004D6028"/>
    <w:rsid w:val="004D7A88"/>
    <w:rsid w:val="004E1BC4"/>
    <w:rsid w:val="004E388C"/>
    <w:rsid w:val="004E576D"/>
    <w:rsid w:val="004F0B40"/>
    <w:rsid w:val="004F1087"/>
    <w:rsid w:val="004F3A89"/>
    <w:rsid w:val="004F3F82"/>
    <w:rsid w:val="00502B69"/>
    <w:rsid w:val="005071BC"/>
    <w:rsid w:val="00515AF4"/>
    <w:rsid w:val="005215A8"/>
    <w:rsid w:val="00527F2B"/>
    <w:rsid w:val="00531EC3"/>
    <w:rsid w:val="0053637D"/>
    <w:rsid w:val="00540E07"/>
    <w:rsid w:val="00545DA9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665F3"/>
    <w:rsid w:val="00570C58"/>
    <w:rsid w:val="00570DAC"/>
    <w:rsid w:val="00571AE0"/>
    <w:rsid w:val="00571E51"/>
    <w:rsid w:val="005759B9"/>
    <w:rsid w:val="00577C81"/>
    <w:rsid w:val="0058127A"/>
    <w:rsid w:val="005816A5"/>
    <w:rsid w:val="00587B5F"/>
    <w:rsid w:val="00590F31"/>
    <w:rsid w:val="00591A5B"/>
    <w:rsid w:val="005940EE"/>
    <w:rsid w:val="005A15C3"/>
    <w:rsid w:val="005A308E"/>
    <w:rsid w:val="005C24DB"/>
    <w:rsid w:val="005C4BDD"/>
    <w:rsid w:val="005C4F6A"/>
    <w:rsid w:val="005D107D"/>
    <w:rsid w:val="005D1A25"/>
    <w:rsid w:val="005D255C"/>
    <w:rsid w:val="005D3C95"/>
    <w:rsid w:val="005D4396"/>
    <w:rsid w:val="005D4C96"/>
    <w:rsid w:val="005D737F"/>
    <w:rsid w:val="005E0749"/>
    <w:rsid w:val="005E2A5E"/>
    <w:rsid w:val="005E3E78"/>
    <w:rsid w:val="005E5B7F"/>
    <w:rsid w:val="005E7ED5"/>
    <w:rsid w:val="005F0055"/>
    <w:rsid w:val="005F4B15"/>
    <w:rsid w:val="005F61A6"/>
    <w:rsid w:val="005F7E62"/>
    <w:rsid w:val="006005E6"/>
    <w:rsid w:val="00604394"/>
    <w:rsid w:val="00604421"/>
    <w:rsid w:val="00606B55"/>
    <w:rsid w:val="00611824"/>
    <w:rsid w:val="00612334"/>
    <w:rsid w:val="006143E3"/>
    <w:rsid w:val="006145C8"/>
    <w:rsid w:val="00620786"/>
    <w:rsid w:val="00623937"/>
    <w:rsid w:val="006244B8"/>
    <w:rsid w:val="006264DC"/>
    <w:rsid w:val="00630F9C"/>
    <w:rsid w:val="00631AEE"/>
    <w:rsid w:val="00635393"/>
    <w:rsid w:val="0063576D"/>
    <w:rsid w:val="0063620D"/>
    <w:rsid w:val="00641ECD"/>
    <w:rsid w:val="00642926"/>
    <w:rsid w:val="006430E0"/>
    <w:rsid w:val="00644AD4"/>
    <w:rsid w:val="00645955"/>
    <w:rsid w:val="00646399"/>
    <w:rsid w:val="00647C71"/>
    <w:rsid w:val="00650B35"/>
    <w:rsid w:val="00651518"/>
    <w:rsid w:val="006632A8"/>
    <w:rsid w:val="00666FC9"/>
    <w:rsid w:val="0066719E"/>
    <w:rsid w:val="00667279"/>
    <w:rsid w:val="006675EA"/>
    <w:rsid w:val="006744B1"/>
    <w:rsid w:val="00680312"/>
    <w:rsid w:val="00684A0B"/>
    <w:rsid w:val="00684EE9"/>
    <w:rsid w:val="00687C34"/>
    <w:rsid w:val="00695951"/>
    <w:rsid w:val="00697096"/>
    <w:rsid w:val="006976FF"/>
    <w:rsid w:val="006A1063"/>
    <w:rsid w:val="006A3DA0"/>
    <w:rsid w:val="006A63D2"/>
    <w:rsid w:val="006A7E71"/>
    <w:rsid w:val="006B640D"/>
    <w:rsid w:val="006B7A87"/>
    <w:rsid w:val="006C20FD"/>
    <w:rsid w:val="006C3524"/>
    <w:rsid w:val="006D12EE"/>
    <w:rsid w:val="006D157D"/>
    <w:rsid w:val="006D3596"/>
    <w:rsid w:val="006D6267"/>
    <w:rsid w:val="006E0696"/>
    <w:rsid w:val="006E0A2B"/>
    <w:rsid w:val="006E250C"/>
    <w:rsid w:val="006E2A57"/>
    <w:rsid w:val="006E5408"/>
    <w:rsid w:val="006F0765"/>
    <w:rsid w:val="006F2E12"/>
    <w:rsid w:val="006F506E"/>
    <w:rsid w:val="006F602A"/>
    <w:rsid w:val="0071296A"/>
    <w:rsid w:val="00714712"/>
    <w:rsid w:val="00716788"/>
    <w:rsid w:val="007167E9"/>
    <w:rsid w:val="00721C19"/>
    <w:rsid w:val="00731D9C"/>
    <w:rsid w:val="00733A5C"/>
    <w:rsid w:val="00737EAA"/>
    <w:rsid w:val="00746866"/>
    <w:rsid w:val="00747416"/>
    <w:rsid w:val="00750F91"/>
    <w:rsid w:val="0075231D"/>
    <w:rsid w:val="00754F02"/>
    <w:rsid w:val="00755146"/>
    <w:rsid w:val="00757A34"/>
    <w:rsid w:val="007600A0"/>
    <w:rsid w:val="00762104"/>
    <w:rsid w:val="00763A34"/>
    <w:rsid w:val="00763A47"/>
    <w:rsid w:val="007641DC"/>
    <w:rsid w:val="00767E9A"/>
    <w:rsid w:val="00770540"/>
    <w:rsid w:val="007723A9"/>
    <w:rsid w:val="00772D99"/>
    <w:rsid w:val="00775668"/>
    <w:rsid w:val="00775A3B"/>
    <w:rsid w:val="00775B86"/>
    <w:rsid w:val="007775DF"/>
    <w:rsid w:val="00777A51"/>
    <w:rsid w:val="00781516"/>
    <w:rsid w:val="007839E4"/>
    <w:rsid w:val="007857DD"/>
    <w:rsid w:val="00785F50"/>
    <w:rsid w:val="00786FD9"/>
    <w:rsid w:val="007901E9"/>
    <w:rsid w:val="00790531"/>
    <w:rsid w:val="00794062"/>
    <w:rsid w:val="00794F4C"/>
    <w:rsid w:val="007958D6"/>
    <w:rsid w:val="00797963"/>
    <w:rsid w:val="00797E63"/>
    <w:rsid w:val="007A1865"/>
    <w:rsid w:val="007A2BB1"/>
    <w:rsid w:val="007A3C67"/>
    <w:rsid w:val="007A6999"/>
    <w:rsid w:val="007B44ED"/>
    <w:rsid w:val="007B463B"/>
    <w:rsid w:val="007B696B"/>
    <w:rsid w:val="007C1F7F"/>
    <w:rsid w:val="007C263E"/>
    <w:rsid w:val="007C3C5D"/>
    <w:rsid w:val="007C50B3"/>
    <w:rsid w:val="007C7CFA"/>
    <w:rsid w:val="007C7DEF"/>
    <w:rsid w:val="007D0408"/>
    <w:rsid w:val="007D17FF"/>
    <w:rsid w:val="007D3FED"/>
    <w:rsid w:val="007D59A6"/>
    <w:rsid w:val="007D706F"/>
    <w:rsid w:val="007D713E"/>
    <w:rsid w:val="007E00E5"/>
    <w:rsid w:val="007E3761"/>
    <w:rsid w:val="007E4AEF"/>
    <w:rsid w:val="007F310A"/>
    <w:rsid w:val="007F585F"/>
    <w:rsid w:val="007F6C8D"/>
    <w:rsid w:val="007F718A"/>
    <w:rsid w:val="008008BD"/>
    <w:rsid w:val="00803B89"/>
    <w:rsid w:val="0082036F"/>
    <w:rsid w:val="008205C3"/>
    <w:rsid w:val="00821DB8"/>
    <w:rsid w:val="0082604B"/>
    <w:rsid w:val="0083227E"/>
    <w:rsid w:val="0083446D"/>
    <w:rsid w:val="00843609"/>
    <w:rsid w:val="00846227"/>
    <w:rsid w:val="0085367E"/>
    <w:rsid w:val="00854F1E"/>
    <w:rsid w:val="00855843"/>
    <w:rsid w:val="00860262"/>
    <w:rsid w:val="00862931"/>
    <w:rsid w:val="00862ADB"/>
    <w:rsid w:val="00864B6A"/>
    <w:rsid w:val="00872692"/>
    <w:rsid w:val="00873D50"/>
    <w:rsid w:val="00875D56"/>
    <w:rsid w:val="00877694"/>
    <w:rsid w:val="00882E77"/>
    <w:rsid w:val="00883026"/>
    <w:rsid w:val="008857A8"/>
    <w:rsid w:val="00885AA7"/>
    <w:rsid w:val="00887BC1"/>
    <w:rsid w:val="008910E1"/>
    <w:rsid w:val="00892408"/>
    <w:rsid w:val="0089321B"/>
    <w:rsid w:val="00894F5B"/>
    <w:rsid w:val="0089537D"/>
    <w:rsid w:val="00895FF5"/>
    <w:rsid w:val="008A2F16"/>
    <w:rsid w:val="008A363C"/>
    <w:rsid w:val="008B57C8"/>
    <w:rsid w:val="008C2594"/>
    <w:rsid w:val="008D0E03"/>
    <w:rsid w:val="008D21E1"/>
    <w:rsid w:val="008D7783"/>
    <w:rsid w:val="008E30EE"/>
    <w:rsid w:val="008E6ECB"/>
    <w:rsid w:val="008E7B18"/>
    <w:rsid w:val="008F2411"/>
    <w:rsid w:val="008F734F"/>
    <w:rsid w:val="008F791B"/>
    <w:rsid w:val="0091037D"/>
    <w:rsid w:val="009115F7"/>
    <w:rsid w:val="0091352F"/>
    <w:rsid w:val="00916955"/>
    <w:rsid w:val="00920F60"/>
    <w:rsid w:val="0092399A"/>
    <w:rsid w:val="009254B4"/>
    <w:rsid w:val="00927733"/>
    <w:rsid w:val="00934110"/>
    <w:rsid w:val="009377B3"/>
    <w:rsid w:val="00941715"/>
    <w:rsid w:val="00944BB6"/>
    <w:rsid w:val="00944BFD"/>
    <w:rsid w:val="009518A8"/>
    <w:rsid w:val="00953A10"/>
    <w:rsid w:val="00956B72"/>
    <w:rsid w:val="00956DE1"/>
    <w:rsid w:val="00960A02"/>
    <w:rsid w:val="009701A2"/>
    <w:rsid w:val="00971D31"/>
    <w:rsid w:val="009814B2"/>
    <w:rsid w:val="00981B46"/>
    <w:rsid w:val="00982674"/>
    <w:rsid w:val="009852E5"/>
    <w:rsid w:val="00987CDE"/>
    <w:rsid w:val="00993B58"/>
    <w:rsid w:val="00996120"/>
    <w:rsid w:val="0099653D"/>
    <w:rsid w:val="009A14FE"/>
    <w:rsid w:val="009B0B3A"/>
    <w:rsid w:val="009B0C6D"/>
    <w:rsid w:val="009B216A"/>
    <w:rsid w:val="009B2960"/>
    <w:rsid w:val="009B297F"/>
    <w:rsid w:val="009B6D87"/>
    <w:rsid w:val="009C1118"/>
    <w:rsid w:val="009C7E28"/>
    <w:rsid w:val="009D3B80"/>
    <w:rsid w:val="009D3FBD"/>
    <w:rsid w:val="009D5071"/>
    <w:rsid w:val="009D51F9"/>
    <w:rsid w:val="009D5D7D"/>
    <w:rsid w:val="009D63E9"/>
    <w:rsid w:val="009D73E9"/>
    <w:rsid w:val="009E2057"/>
    <w:rsid w:val="009E435B"/>
    <w:rsid w:val="009E5F1C"/>
    <w:rsid w:val="009F0509"/>
    <w:rsid w:val="009F2607"/>
    <w:rsid w:val="009F44C5"/>
    <w:rsid w:val="009F7E37"/>
    <w:rsid w:val="00A01B8C"/>
    <w:rsid w:val="00A0696C"/>
    <w:rsid w:val="00A1205B"/>
    <w:rsid w:val="00A12291"/>
    <w:rsid w:val="00A1339F"/>
    <w:rsid w:val="00A146DC"/>
    <w:rsid w:val="00A233AA"/>
    <w:rsid w:val="00A233E4"/>
    <w:rsid w:val="00A35175"/>
    <w:rsid w:val="00A3761F"/>
    <w:rsid w:val="00A559CE"/>
    <w:rsid w:val="00A6119C"/>
    <w:rsid w:val="00A61BEE"/>
    <w:rsid w:val="00A63B72"/>
    <w:rsid w:val="00A730B6"/>
    <w:rsid w:val="00A73442"/>
    <w:rsid w:val="00A8064C"/>
    <w:rsid w:val="00A82B31"/>
    <w:rsid w:val="00A831CF"/>
    <w:rsid w:val="00A8725B"/>
    <w:rsid w:val="00A873CD"/>
    <w:rsid w:val="00A91602"/>
    <w:rsid w:val="00AA0A4F"/>
    <w:rsid w:val="00AA12F7"/>
    <w:rsid w:val="00AB4B55"/>
    <w:rsid w:val="00AC5C5B"/>
    <w:rsid w:val="00AD71C9"/>
    <w:rsid w:val="00AE125F"/>
    <w:rsid w:val="00AE29C5"/>
    <w:rsid w:val="00AE36A9"/>
    <w:rsid w:val="00AE37EE"/>
    <w:rsid w:val="00AE4473"/>
    <w:rsid w:val="00AE4AB6"/>
    <w:rsid w:val="00AF3EC1"/>
    <w:rsid w:val="00AF4457"/>
    <w:rsid w:val="00AF58A2"/>
    <w:rsid w:val="00AF5D83"/>
    <w:rsid w:val="00B0146A"/>
    <w:rsid w:val="00B02B99"/>
    <w:rsid w:val="00B04D8D"/>
    <w:rsid w:val="00B06674"/>
    <w:rsid w:val="00B068AD"/>
    <w:rsid w:val="00B074EB"/>
    <w:rsid w:val="00B11D12"/>
    <w:rsid w:val="00B13DB9"/>
    <w:rsid w:val="00B20524"/>
    <w:rsid w:val="00B22B59"/>
    <w:rsid w:val="00B22EF2"/>
    <w:rsid w:val="00B3324A"/>
    <w:rsid w:val="00B34A84"/>
    <w:rsid w:val="00B400E7"/>
    <w:rsid w:val="00B41453"/>
    <w:rsid w:val="00B46640"/>
    <w:rsid w:val="00B46AF3"/>
    <w:rsid w:val="00B4759A"/>
    <w:rsid w:val="00B47B23"/>
    <w:rsid w:val="00B52898"/>
    <w:rsid w:val="00B54294"/>
    <w:rsid w:val="00B55F52"/>
    <w:rsid w:val="00B6675D"/>
    <w:rsid w:val="00B66FDC"/>
    <w:rsid w:val="00B70EAC"/>
    <w:rsid w:val="00B7653B"/>
    <w:rsid w:val="00B77ACC"/>
    <w:rsid w:val="00B83B63"/>
    <w:rsid w:val="00B90614"/>
    <w:rsid w:val="00B934AD"/>
    <w:rsid w:val="00B94191"/>
    <w:rsid w:val="00B94949"/>
    <w:rsid w:val="00B96D0F"/>
    <w:rsid w:val="00BA3331"/>
    <w:rsid w:val="00BA48FA"/>
    <w:rsid w:val="00BA5626"/>
    <w:rsid w:val="00BA657A"/>
    <w:rsid w:val="00BA65BC"/>
    <w:rsid w:val="00BA7A8F"/>
    <w:rsid w:val="00BB3AB5"/>
    <w:rsid w:val="00BC04E6"/>
    <w:rsid w:val="00BC4ABE"/>
    <w:rsid w:val="00BC5C92"/>
    <w:rsid w:val="00BC6D03"/>
    <w:rsid w:val="00BD302E"/>
    <w:rsid w:val="00BD684A"/>
    <w:rsid w:val="00BE0FFE"/>
    <w:rsid w:val="00BE2AC7"/>
    <w:rsid w:val="00BE42EA"/>
    <w:rsid w:val="00BF033D"/>
    <w:rsid w:val="00BF46BE"/>
    <w:rsid w:val="00BF4A24"/>
    <w:rsid w:val="00C007C7"/>
    <w:rsid w:val="00C02481"/>
    <w:rsid w:val="00C029A5"/>
    <w:rsid w:val="00C037F7"/>
    <w:rsid w:val="00C0763E"/>
    <w:rsid w:val="00C112E3"/>
    <w:rsid w:val="00C173E7"/>
    <w:rsid w:val="00C306F2"/>
    <w:rsid w:val="00C311EE"/>
    <w:rsid w:val="00C31E33"/>
    <w:rsid w:val="00C3291B"/>
    <w:rsid w:val="00C3476D"/>
    <w:rsid w:val="00C41024"/>
    <w:rsid w:val="00C53291"/>
    <w:rsid w:val="00C5394D"/>
    <w:rsid w:val="00C54689"/>
    <w:rsid w:val="00C54FEF"/>
    <w:rsid w:val="00C625AB"/>
    <w:rsid w:val="00C64FA8"/>
    <w:rsid w:val="00C727D6"/>
    <w:rsid w:val="00C74795"/>
    <w:rsid w:val="00C758D5"/>
    <w:rsid w:val="00C764F8"/>
    <w:rsid w:val="00C7769A"/>
    <w:rsid w:val="00C820B2"/>
    <w:rsid w:val="00C85038"/>
    <w:rsid w:val="00C86FAB"/>
    <w:rsid w:val="00C8735C"/>
    <w:rsid w:val="00C8769D"/>
    <w:rsid w:val="00C92849"/>
    <w:rsid w:val="00C97D7A"/>
    <w:rsid w:val="00CA1867"/>
    <w:rsid w:val="00CA57DF"/>
    <w:rsid w:val="00CB0549"/>
    <w:rsid w:val="00CB0D85"/>
    <w:rsid w:val="00CB7067"/>
    <w:rsid w:val="00CC2F26"/>
    <w:rsid w:val="00CC7C6C"/>
    <w:rsid w:val="00CE0AD9"/>
    <w:rsid w:val="00CE54B2"/>
    <w:rsid w:val="00CF18A5"/>
    <w:rsid w:val="00D00DF0"/>
    <w:rsid w:val="00D034E0"/>
    <w:rsid w:val="00D04A7C"/>
    <w:rsid w:val="00D04FB0"/>
    <w:rsid w:val="00D05CA7"/>
    <w:rsid w:val="00D15AC6"/>
    <w:rsid w:val="00D15FCC"/>
    <w:rsid w:val="00D20BDA"/>
    <w:rsid w:val="00D22600"/>
    <w:rsid w:val="00D24947"/>
    <w:rsid w:val="00D25D9A"/>
    <w:rsid w:val="00D25F6B"/>
    <w:rsid w:val="00D27A9A"/>
    <w:rsid w:val="00D30244"/>
    <w:rsid w:val="00D317F9"/>
    <w:rsid w:val="00D3271F"/>
    <w:rsid w:val="00D400AA"/>
    <w:rsid w:val="00D40F96"/>
    <w:rsid w:val="00D41A1B"/>
    <w:rsid w:val="00D41A55"/>
    <w:rsid w:val="00D43548"/>
    <w:rsid w:val="00D44EA3"/>
    <w:rsid w:val="00D47C54"/>
    <w:rsid w:val="00D51523"/>
    <w:rsid w:val="00D523B2"/>
    <w:rsid w:val="00D57CD2"/>
    <w:rsid w:val="00D62B7D"/>
    <w:rsid w:val="00D73EEF"/>
    <w:rsid w:val="00D741E5"/>
    <w:rsid w:val="00D74F23"/>
    <w:rsid w:val="00D753D8"/>
    <w:rsid w:val="00D810F5"/>
    <w:rsid w:val="00D814D3"/>
    <w:rsid w:val="00D8742E"/>
    <w:rsid w:val="00DA0577"/>
    <w:rsid w:val="00DA4BD2"/>
    <w:rsid w:val="00DA5BFF"/>
    <w:rsid w:val="00DA60E3"/>
    <w:rsid w:val="00DA6FF8"/>
    <w:rsid w:val="00DC0E99"/>
    <w:rsid w:val="00DC6E53"/>
    <w:rsid w:val="00DD43DD"/>
    <w:rsid w:val="00DE0043"/>
    <w:rsid w:val="00DE0ADC"/>
    <w:rsid w:val="00DE1212"/>
    <w:rsid w:val="00DE2739"/>
    <w:rsid w:val="00DE5767"/>
    <w:rsid w:val="00DE7688"/>
    <w:rsid w:val="00DF0B95"/>
    <w:rsid w:val="00DF2733"/>
    <w:rsid w:val="00DF4F7C"/>
    <w:rsid w:val="00DF5C71"/>
    <w:rsid w:val="00DF5FEB"/>
    <w:rsid w:val="00E04001"/>
    <w:rsid w:val="00E109CB"/>
    <w:rsid w:val="00E13163"/>
    <w:rsid w:val="00E17110"/>
    <w:rsid w:val="00E3027A"/>
    <w:rsid w:val="00E32EC6"/>
    <w:rsid w:val="00E40C65"/>
    <w:rsid w:val="00E41DC6"/>
    <w:rsid w:val="00E4454E"/>
    <w:rsid w:val="00E46924"/>
    <w:rsid w:val="00E46F5F"/>
    <w:rsid w:val="00E544D7"/>
    <w:rsid w:val="00E5477E"/>
    <w:rsid w:val="00E61DDD"/>
    <w:rsid w:val="00E70EA8"/>
    <w:rsid w:val="00E71385"/>
    <w:rsid w:val="00E72A00"/>
    <w:rsid w:val="00E73437"/>
    <w:rsid w:val="00E73FBD"/>
    <w:rsid w:val="00E74DCB"/>
    <w:rsid w:val="00E80104"/>
    <w:rsid w:val="00E808B4"/>
    <w:rsid w:val="00E80A67"/>
    <w:rsid w:val="00E8589C"/>
    <w:rsid w:val="00E86068"/>
    <w:rsid w:val="00E8627B"/>
    <w:rsid w:val="00E86E75"/>
    <w:rsid w:val="00EA2D26"/>
    <w:rsid w:val="00EA3061"/>
    <w:rsid w:val="00EA4F00"/>
    <w:rsid w:val="00EB4393"/>
    <w:rsid w:val="00EC08E0"/>
    <w:rsid w:val="00EC09C6"/>
    <w:rsid w:val="00EC2C3C"/>
    <w:rsid w:val="00ED366A"/>
    <w:rsid w:val="00ED3EC0"/>
    <w:rsid w:val="00ED3ED7"/>
    <w:rsid w:val="00ED47AD"/>
    <w:rsid w:val="00ED54A1"/>
    <w:rsid w:val="00ED62EB"/>
    <w:rsid w:val="00ED65FE"/>
    <w:rsid w:val="00ED725B"/>
    <w:rsid w:val="00F008F7"/>
    <w:rsid w:val="00F010CE"/>
    <w:rsid w:val="00F017B0"/>
    <w:rsid w:val="00F0242E"/>
    <w:rsid w:val="00F0477B"/>
    <w:rsid w:val="00F14134"/>
    <w:rsid w:val="00F15C58"/>
    <w:rsid w:val="00F1798B"/>
    <w:rsid w:val="00F205BE"/>
    <w:rsid w:val="00F2142B"/>
    <w:rsid w:val="00F21881"/>
    <w:rsid w:val="00F21F1A"/>
    <w:rsid w:val="00F30546"/>
    <w:rsid w:val="00F355C7"/>
    <w:rsid w:val="00F36735"/>
    <w:rsid w:val="00F402DF"/>
    <w:rsid w:val="00F4269A"/>
    <w:rsid w:val="00F4476F"/>
    <w:rsid w:val="00F46D67"/>
    <w:rsid w:val="00F50730"/>
    <w:rsid w:val="00F5102A"/>
    <w:rsid w:val="00F56BB2"/>
    <w:rsid w:val="00F60064"/>
    <w:rsid w:val="00F60AB3"/>
    <w:rsid w:val="00F718E9"/>
    <w:rsid w:val="00F86049"/>
    <w:rsid w:val="00F90C5E"/>
    <w:rsid w:val="00F92E29"/>
    <w:rsid w:val="00F933D7"/>
    <w:rsid w:val="00F94657"/>
    <w:rsid w:val="00FA110F"/>
    <w:rsid w:val="00FA5F4F"/>
    <w:rsid w:val="00FA66FC"/>
    <w:rsid w:val="00FB1209"/>
    <w:rsid w:val="00FB27C5"/>
    <w:rsid w:val="00FB3400"/>
    <w:rsid w:val="00FB4645"/>
    <w:rsid w:val="00FB646C"/>
    <w:rsid w:val="00FB7312"/>
    <w:rsid w:val="00FC4A1F"/>
    <w:rsid w:val="00FC4AFB"/>
    <w:rsid w:val="00FC6E14"/>
    <w:rsid w:val="00FD06F7"/>
    <w:rsid w:val="00FD1CB4"/>
    <w:rsid w:val="00FD2AF0"/>
    <w:rsid w:val="00FD33DF"/>
    <w:rsid w:val="00FD39B1"/>
    <w:rsid w:val="00FD4C3E"/>
    <w:rsid w:val="00FD5E88"/>
    <w:rsid w:val="00FD7BDF"/>
    <w:rsid w:val="00FE0FE8"/>
    <w:rsid w:val="00FE36A9"/>
    <w:rsid w:val="00FE5CF9"/>
    <w:rsid w:val="00FE5FF3"/>
    <w:rsid w:val="00FF1230"/>
    <w:rsid w:val="00FF69AB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  <w:style w:type="paragraph" w:styleId="Reviso">
    <w:name w:val="Revision"/>
    <w:hidden/>
    <w:uiPriority w:val="99"/>
    <w:semiHidden/>
    <w:rsid w:val="003835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7" ma:contentTypeDescription="Crie um novo documento." ma:contentTypeScope="" ma:versionID="241f54de39da0e0d12ebc5a947a29d63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e12ee24599afade0617e47033d097d55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867D5-1B30-4348-AE9D-C3742DB427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D8461B-3EB2-4902-A204-41393F934A1D}"/>
</file>

<file path=customXml/itemProps3.xml><?xml version="1.0" encoding="utf-8"?>
<ds:datastoreItem xmlns:ds="http://schemas.openxmlformats.org/officeDocument/2006/customXml" ds:itemID="{159122E5-BAAA-41C1-9EFE-0574B63E6E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FF045F-601A-4612-B1A1-F2257C416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1764</TotalTime>
  <Pages>6</Pages>
  <Words>1421</Words>
  <Characters>7674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9077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195</cp:revision>
  <cp:lastPrinted>2023-02-01T16:46:00Z</cp:lastPrinted>
  <dcterms:created xsi:type="dcterms:W3CDTF">2023-06-15T19:39:00Z</dcterms:created>
  <dcterms:modified xsi:type="dcterms:W3CDTF">2025-05-28T19:17:00Z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298200</vt:r8>
  </property>
</Properties>
</file>