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7D1" w:rsidRDefault="00115EAC" w:rsidP="00AA28DF">
      <w:pPr>
        <w:rPr>
          <w:b/>
        </w:rPr>
      </w:pPr>
      <w:r>
        <w:rPr>
          <w:b/>
        </w:rPr>
        <w:t>EMBARGOS DE DECLARAÇÃO. APELAÇÃO CRIMINAL. HONORÁRIOS DATIVOS. ARBITRAMENTO EM FAVOR DE ADVOGADO DIVERSO. ERRO MATERIAL CONFIGURADO. CORREÇÃO. RECURSO CONHECIDO E ACOLHIDO.</w:t>
      </w:r>
    </w:p>
    <w:p w:rsidR="00115EAC" w:rsidRDefault="00115EAC" w:rsidP="00AA28DF">
      <w:pPr>
        <w:rPr>
          <w:b/>
        </w:rPr>
      </w:pPr>
      <w:r>
        <w:rPr>
          <w:b/>
        </w:rPr>
        <w:t>1. Configura erro material, sanável pela via dos embargos de declaração, o arbitramento de honorários em favor de advogado diverso daquele que praticou o ato de interposição de recurso de apelação, em defesa do jurisdicionado para cujo patrocínio foi devidamente nomeado.</w:t>
      </w:r>
    </w:p>
    <w:p w:rsidR="00AA28DF" w:rsidRDefault="00115EAC" w:rsidP="00115EAC">
      <w:pPr>
        <w:rPr>
          <w:b/>
        </w:rPr>
      </w:pPr>
      <w:r>
        <w:rPr>
          <w:b/>
        </w:rPr>
        <w:t>2. Embargos conhecidos e acolhidos.</w:t>
      </w: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:rsidR="0010580C" w:rsidRDefault="00AA28DF" w:rsidP="00AA28DF">
      <w:pPr>
        <w:pStyle w:val="PargrafodaLista"/>
        <w:ind w:left="0"/>
        <w:contextualSpacing w:val="0"/>
      </w:pPr>
      <w:r>
        <w:t xml:space="preserve">Cuida-se de </w:t>
      </w:r>
      <w:r w:rsidR="0010580C">
        <w:t>embargos de declaração interpostos por Ricardo Aparecido Ramos Simoni Junior, tendo com objeto acórdão proferido pela 3ª Câmara Criminal do Tribunal de Justiça do Paraná (evento 42 – apelação criminal).</w:t>
      </w:r>
    </w:p>
    <w:p w:rsidR="0010580C" w:rsidRDefault="0010580C" w:rsidP="00AA28DF">
      <w:pPr>
        <w:pStyle w:val="PargrafodaLista"/>
        <w:ind w:left="0"/>
        <w:contextualSpacing w:val="0"/>
      </w:pPr>
      <w:r>
        <w:t>Argumenta o embargante, em apertada síntese, a existência de omissão no capítulo dos honorários dativos, em detrimento de sua atuação recursal (evento 1.1).</w:t>
      </w:r>
    </w:p>
    <w:p w:rsidR="0010580C" w:rsidRDefault="0010580C" w:rsidP="00AA28DF">
      <w:pPr>
        <w:pStyle w:val="PargrafodaLista"/>
        <w:ind w:left="0"/>
        <w:contextualSpacing w:val="0"/>
      </w:pPr>
      <w:r>
        <w:t xml:space="preserve">É o necessário relato. 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AA28DF" w:rsidP="00877419">
      <w:pPr>
        <w:pStyle w:val="PargrafodaLista"/>
        <w:ind w:left="0"/>
        <w:contextualSpacing w:val="0"/>
        <w:rPr>
          <w:b/>
        </w:rPr>
      </w:pPr>
      <w:bookmarkStart w:id="0" w:name="_GoBack"/>
      <w:r w:rsidRPr="00AA28DF">
        <w:rPr>
          <w:b/>
        </w:rPr>
        <w:t>II – VOTO E SUA FUNDAMENTAÇÃO</w:t>
      </w:r>
    </w:p>
    <w:p w:rsidR="00AA28DF" w:rsidRDefault="00AA28DF" w:rsidP="00877419">
      <w:pPr>
        <w:pStyle w:val="PargrafodaLista"/>
        <w:ind w:left="0"/>
        <w:contextualSpacing w:val="0"/>
      </w:pPr>
      <w:proofErr w:type="spellStart"/>
      <w:r>
        <w:t>II.I</w:t>
      </w:r>
      <w:proofErr w:type="spellEnd"/>
      <w:r>
        <w:t xml:space="preserve"> – DO JUÍZO DE ADMISSIBILIDADE</w:t>
      </w:r>
    </w:p>
    <w:p w:rsidR="0010580C" w:rsidRDefault="0010580C" w:rsidP="00877419">
      <w:pPr>
        <w:pStyle w:val="PargrafodaLista"/>
        <w:ind w:left="0"/>
        <w:contextualSpacing w:val="0"/>
      </w:pPr>
      <w:r>
        <w:t>Satisfeitos os pressupostos de admissibilidade recursal, conhece-se dos embargos de declaração opostos.</w:t>
      </w:r>
    </w:p>
    <w:p w:rsidR="0010580C" w:rsidRDefault="0010580C" w:rsidP="00877419">
      <w:pPr>
        <w:pStyle w:val="PargrafodaLista"/>
        <w:ind w:left="0"/>
        <w:contextualSpacing w:val="0"/>
      </w:pPr>
    </w:p>
    <w:p w:rsidR="0010580C" w:rsidRDefault="0010580C" w:rsidP="00877419">
      <w:pPr>
        <w:pStyle w:val="PargrafodaLista"/>
        <w:ind w:left="0"/>
        <w:contextualSpacing w:val="0"/>
      </w:pPr>
      <w:proofErr w:type="spellStart"/>
      <w:r>
        <w:t>II.II</w:t>
      </w:r>
      <w:proofErr w:type="spellEnd"/>
      <w:r>
        <w:t xml:space="preserve"> – DOS HONORÁRIOS DATIVOS</w:t>
      </w:r>
    </w:p>
    <w:p w:rsidR="00115EAC" w:rsidRDefault="00115EAC" w:rsidP="00115EAC">
      <w:pPr>
        <w:pStyle w:val="PargrafodaLista"/>
        <w:ind w:left="0"/>
        <w:contextualSpacing w:val="0"/>
      </w:pPr>
      <w:r>
        <w:t>O pronunciamento embargado, embora tenha referenciado a decisão de nomeação dos advogados dativos, arbitrou honorários em favor de profissional diverso (evento 107 – autos de origem).</w:t>
      </w:r>
    </w:p>
    <w:p w:rsidR="00115EAC" w:rsidRDefault="00115EAC" w:rsidP="00115EAC">
      <w:pPr>
        <w:pStyle w:val="PargrafodaLista"/>
        <w:ind w:left="0"/>
        <w:contextualSpacing w:val="0"/>
      </w:pPr>
      <w:r>
        <w:t>Resulta, portanto, configurado erro material a justificar a retificação pretendida, como forma de aprimoramento da prestação jurisdicional.</w:t>
      </w:r>
    </w:p>
    <w:p w:rsidR="00115EAC" w:rsidRDefault="00115EAC" w:rsidP="00115EAC">
      <w:pPr>
        <w:pStyle w:val="PargrafodaLista"/>
        <w:ind w:left="0"/>
        <w:contextualSpacing w:val="0"/>
      </w:pPr>
      <w:r>
        <w:t xml:space="preserve">Assim, o capítulo </w:t>
      </w:r>
      <w:proofErr w:type="spellStart"/>
      <w:r>
        <w:t>II.V</w:t>
      </w:r>
      <w:proofErr w:type="spellEnd"/>
      <w:r>
        <w:t>, do acórdão impugnado, passará a vigorar com a seguinte redação:</w:t>
      </w:r>
    </w:p>
    <w:p w:rsidR="00115EAC" w:rsidRPr="00115EAC" w:rsidRDefault="00115EAC" w:rsidP="00115EAC">
      <w:pPr>
        <w:pStyle w:val="PargrafodaLista"/>
        <w:spacing w:before="600" w:after="600"/>
        <w:ind w:left="2268" w:firstLine="0"/>
        <w:contextualSpacing w:val="0"/>
        <w:rPr>
          <w:sz w:val="22"/>
        </w:rPr>
      </w:pPr>
      <w:proofErr w:type="spellStart"/>
      <w:r w:rsidRPr="00115EAC">
        <w:rPr>
          <w:sz w:val="22"/>
        </w:rPr>
        <w:t>II.V</w:t>
      </w:r>
      <w:proofErr w:type="spellEnd"/>
      <w:r w:rsidRPr="00115EAC">
        <w:rPr>
          <w:sz w:val="22"/>
        </w:rPr>
        <w:t xml:space="preserve"> – DOS HONORÁRIOS DATIVOS</w:t>
      </w:r>
    </w:p>
    <w:p w:rsidR="00115EAC" w:rsidRDefault="008867FD" w:rsidP="00115EAC">
      <w:pPr>
        <w:pStyle w:val="PargrafodaLista"/>
        <w:spacing w:before="600" w:after="600"/>
        <w:ind w:left="2268" w:firstLine="0"/>
        <w:contextualSpacing w:val="0"/>
        <w:rPr>
          <w:sz w:val="22"/>
        </w:rPr>
      </w:pPr>
      <w:r w:rsidRPr="00115EAC">
        <w:rPr>
          <w:sz w:val="22"/>
        </w:rPr>
        <w:t xml:space="preserve">Considerando os critérios estabelecidos no artigo 82, § 2º, do Código de Processo Civil e o disposto na Resolução Conjunta nº 15 de 2019 – </w:t>
      </w:r>
      <w:proofErr w:type="spellStart"/>
      <w:r w:rsidRPr="00115EAC">
        <w:rPr>
          <w:sz w:val="22"/>
        </w:rPr>
        <w:t>PGE</w:t>
      </w:r>
      <w:proofErr w:type="spellEnd"/>
      <w:r w:rsidRPr="00115EAC">
        <w:rPr>
          <w:sz w:val="22"/>
        </w:rPr>
        <w:t>/SEJA, arbitra-se</w:t>
      </w:r>
      <w:r w:rsidR="00115EAC">
        <w:rPr>
          <w:sz w:val="22"/>
        </w:rPr>
        <w:t>: a)</w:t>
      </w:r>
      <w:r w:rsidRPr="00115EAC">
        <w:rPr>
          <w:sz w:val="22"/>
        </w:rPr>
        <w:t xml:space="preserve"> em R$ 600,00 (seiscentos reais) os honorários dativos </w:t>
      </w:r>
      <w:r w:rsidR="00115EAC">
        <w:rPr>
          <w:sz w:val="22"/>
        </w:rPr>
        <w:t>do</w:t>
      </w:r>
      <w:r w:rsidRPr="00115EAC">
        <w:rPr>
          <w:sz w:val="22"/>
        </w:rPr>
        <w:t xml:space="preserve"> advogado </w:t>
      </w:r>
      <w:r w:rsidRPr="00115EAC">
        <w:rPr>
          <w:sz w:val="22"/>
        </w:rPr>
        <w:t xml:space="preserve">Ricardo </w:t>
      </w:r>
      <w:r w:rsidRPr="00115EAC">
        <w:rPr>
          <w:sz w:val="22"/>
        </w:rPr>
        <w:t>Aparecido Ramos Simoni Junior</w:t>
      </w:r>
      <w:r w:rsidRPr="00115EAC">
        <w:rPr>
          <w:sz w:val="22"/>
        </w:rPr>
        <w:t xml:space="preserve">, </w:t>
      </w:r>
      <w:r w:rsidRPr="00115EAC">
        <w:rPr>
          <w:sz w:val="22"/>
        </w:rPr>
        <w:t>inscrito na OAB PR sob o nº 105.268</w:t>
      </w:r>
      <w:r w:rsidRPr="00115EAC">
        <w:rPr>
          <w:sz w:val="22"/>
        </w:rPr>
        <w:t xml:space="preserve">, nomeado para o patrocínio da defesa </w:t>
      </w:r>
      <w:r w:rsidR="00EB5F30" w:rsidRPr="00115EAC">
        <w:rPr>
          <w:sz w:val="22"/>
        </w:rPr>
        <w:t>de</w:t>
      </w:r>
      <w:r w:rsidRPr="00115EAC">
        <w:rPr>
          <w:sz w:val="22"/>
        </w:rPr>
        <w:t xml:space="preserve"> Henrique Mateus de Oliveira </w:t>
      </w:r>
      <w:proofErr w:type="spellStart"/>
      <w:r w:rsidRPr="00115EAC">
        <w:rPr>
          <w:sz w:val="22"/>
        </w:rPr>
        <w:t>Cirimeli</w:t>
      </w:r>
      <w:proofErr w:type="spellEnd"/>
      <w:r w:rsidR="00115EAC">
        <w:rPr>
          <w:sz w:val="22"/>
        </w:rPr>
        <w:t xml:space="preserve">; b) </w:t>
      </w:r>
      <w:r w:rsidRPr="00115EAC">
        <w:rPr>
          <w:sz w:val="22"/>
        </w:rPr>
        <w:t xml:space="preserve">em </w:t>
      </w:r>
      <w:r w:rsidRPr="00115EAC">
        <w:rPr>
          <w:sz w:val="22"/>
        </w:rPr>
        <w:t xml:space="preserve">R$ 600,00 (seiscentos reais) os honorários do advogado José Carlos Pereira de Godoy, inscrito na </w:t>
      </w:r>
      <w:r w:rsidR="00EB5F30" w:rsidRPr="00115EAC">
        <w:rPr>
          <w:sz w:val="22"/>
        </w:rPr>
        <w:t>OAB PR sob o nº 11.639, nomeado</w:t>
      </w:r>
      <w:r w:rsidRPr="00115EAC">
        <w:rPr>
          <w:sz w:val="22"/>
        </w:rPr>
        <w:t xml:space="preserve"> para o patrocínio</w:t>
      </w:r>
      <w:r w:rsidR="00EB5F30" w:rsidRPr="00115EAC">
        <w:rPr>
          <w:sz w:val="22"/>
        </w:rPr>
        <w:t xml:space="preserve"> da defesa de</w:t>
      </w:r>
      <w:r w:rsidR="00115EAC" w:rsidRPr="00115EAC">
        <w:rPr>
          <w:sz w:val="22"/>
        </w:rPr>
        <w:t xml:space="preserve"> Regina de Oliveira Reynaldo</w:t>
      </w:r>
      <w:r w:rsidR="00EB5F30" w:rsidRPr="00115EAC">
        <w:rPr>
          <w:sz w:val="22"/>
        </w:rPr>
        <w:t xml:space="preserve"> </w:t>
      </w:r>
      <w:r w:rsidRPr="00115EAC">
        <w:rPr>
          <w:sz w:val="22"/>
        </w:rPr>
        <w:t>(evento 107.1 – autos de origem).</w:t>
      </w:r>
    </w:p>
    <w:p w:rsidR="00115EAC" w:rsidRPr="00115EAC" w:rsidRDefault="00115EAC" w:rsidP="00115EAC">
      <w:pPr>
        <w:pStyle w:val="PargrafodaLista"/>
        <w:spacing w:before="600" w:after="600"/>
        <w:ind w:left="2268" w:firstLine="0"/>
        <w:contextualSpacing w:val="0"/>
        <w:rPr>
          <w:sz w:val="22"/>
        </w:rPr>
      </w:pPr>
      <w:r w:rsidRPr="00115EAC">
        <w:rPr>
          <w:sz w:val="22"/>
        </w:rPr>
        <w:t>Servirá o presente como certidão de honorários.</w:t>
      </w:r>
    </w:p>
    <w:p w:rsidR="00AA28DF" w:rsidRDefault="00AA28DF" w:rsidP="00877419">
      <w:pPr>
        <w:pStyle w:val="PargrafodaLista"/>
        <w:ind w:left="0"/>
        <w:contextualSpacing w:val="0"/>
      </w:pPr>
      <w:r>
        <w:t>DA CONCLUSÃO</w:t>
      </w:r>
    </w:p>
    <w:p w:rsidR="00115EAC" w:rsidRDefault="00AA28DF" w:rsidP="00877419">
      <w:pPr>
        <w:pStyle w:val="PargrafodaLista"/>
        <w:ind w:left="0"/>
        <w:contextualSpacing w:val="0"/>
      </w:pPr>
      <w:r>
        <w:t xml:space="preserve">Pela conjugação das premissas deduzidas, a conclusão a ser adota </w:t>
      </w:r>
      <w:r w:rsidR="00115EAC">
        <w:t>consiste no conhecimento e acolhimento dos embargos, nos termos da fundamentação.</w:t>
      </w:r>
    </w:p>
    <w:p w:rsidR="00AA28DF" w:rsidRDefault="00115EAC" w:rsidP="00877419">
      <w:pPr>
        <w:pStyle w:val="PargrafodaLista"/>
        <w:ind w:left="0"/>
        <w:contextualSpacing w:val="0"/>
      </w:pPr>
      <w:r>
        <w:t>É como voto.</w:t>
      </w:r>
    </w:p>
    <w:p w:rsidR="00115EAC" w:rsidRDefault="00115EAC" w:rsidP="00877419">
      <w:pPr>
        <w:pStyle w:val="PargrafodaLista"/>
        <w:ind w:left="0"/>
        <w:contextualSpacing w:val="0"/>
        <w:rPr>
          <w:b/>
        </w:rPr>
      </w:pPr>
    </w:p>
    <w:p w:rsidR="00AA28DF" w:rsidRPr="00AA28DF" w:rsidRDefault="00877419" w:rsidP="00877419">
      <w:pPr>
        <w:pStyle w:val="PargrafodaLista"/>
        <w:ind w:left="0"/>
        <w:contextualSpacing w:val="0"/>
        <w:rPr>
          <w:b/>
        </w:rPr>
      </w:pPr>
      <w:proofErr w:type="spellStart"/>
      <w:r>
        <w:rPr>
          <w:b/>
        </w:rPr>
        <w:t>III</w:t>
      </w:r>
      <w:proofErr w:type="spellEnd"/>
      <w:r>
        <w:rPr>
          <w:b/>
        </w:rPr>
        <w:t xml:space="preserve"> </w:t>
      </w:r>
      <w:r w:rsidR="00115EAC">
        <w:rPr>
          <w:b/>
        </w:rPr>
        <w:t>–</w:t>
      </w:r>
      <w:r>
        <w:rPr>
          <w:b/>
        </w:rPr>
        <w:t xml:space="preserve"> DECISÃO</w:t>
      </w:r>
      <w:bookmarkEnd w:id="0"/>
    </w:p>
    <w:sectPr w:rsidR="00AA28DF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2"/>
    <w:rsid w:val="0010580C"/>
    <w:rsid w:val="00115EAC"/>
    <w:rsid w:val="00165C47"/>
    <w:rsid w:val="00623FD8"/>
    <w:rsid w:val="00672942"/>
    <w:rsid w:val="00877419"/>
    <w:rsid w:val="008867FD"/>
    <w:rsid w:val="00AA28DF"/>
    <w:rsid w:val="00AE47D1"/>
    <w:rsid w:val="00EB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A75DC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A3FD47-BBB1-4F82-A217-D39ACA5284DD}"/>
</file>

<file path=customXml/itemProps2.xml><?xml version="1.0" encoding="utf-8"?>
<ds:datastoreItem xmlns:ds="http://schemas.openxmlformats.org/officeDocument/2006/customXml" ds:itemID="{0D8ECAFB-2A07-46F6-9EA5-7E476CFCFD1D}"/>
</file>

<file path=customXml/itemProps3.xml><?xml version="1.0" encoding="utf-8"?>
<ds:datastoreItem xmlns:ds="http://schemas.openxmlformats.org/officeDocument/2006/customXml" ds:itemID="{F3561C9F-99CC-4038-B5E9-1D8EF77CB9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372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4</cp:revision>
  <dcterms:created xsi:type="dcterms:W3CDTF">2024-02-08T17:42:00Z</dcterms:created>
  <dcterms:modified xsi:type="dcterms:W3CDTF">2024-02-28T17:46:00Z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324200</vt:r8>
  </property>
</Properties>
</file>