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2D43C" w14:textId="3C04CBCD" w:rsidR="00BD5AEE" w:rsidRDefault="00516501" w:rsidP="0062078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PENAL. PROCESSO PENAL.</w:t>
      </w:r>
      <w:r w:rsidR="0062078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EMBARGOS DE DECLARAÇÃO. </w:t>
      </w:r>
      <w:r w:rsidR="00BD5AE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PRAZO LEGAL DE 2 (DOIS) DIAS. ART. 619 DO CPP. INTEMPESTIVIDADE CONSTATADA. RECURSO NÃO CONHECIDO.</w:t>
      </w:r>
    </w:p>
    <w:p w14:paraId="2F0E0972" w14:textId="4E29FF45" w:rsidR="00620786" w:rsidRDefault="00620786" w:rsidP="0062078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1. </w:t>
      </w:r>
      <w:r w:rsidR="00BD5AE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oposição de embargos de declaração após ao prazo legal de 2 (dois) dias, previsto no artigo 619 do Código de Processo Penal, enseja juízo negativo de admissibilidade recursal.</w:t>
      </w:r>
    </w:p>
    <w:p w14:paraId="488D1DD9" w14:textId="70C717B4" w:rsidR="00620786" w:rsidRPr="00B400E7" w:rsidRDefault="00620786" w:rsidP="0062078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2. </w:t>
      </w:r>
      <w:r w:rsidR="008344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</w:t>
      </w:r>
      <w:r w:rsidR="00BD5AE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não conhecido</w:t>
      </w:r>
      <w:r w:rsidR="008344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02E0484" w14:textId="29A4324B" w:rsidR="00D74F23" w:rsidRPr="00B400E7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2F58A5A7" w14:textId="5032AE96" w:rsidR="001C5737" w:rsidRDefault="003B44F2" w:rsidP="00BD5AE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sz w:val="24"/>
          <w:szCs w:val="24"/>
          <w:lang w:eastAsia="pt-BR"/>
        </w:rPr>
        <w:t>Cuida-se de recurso de</w:t>
      </w:r>
      <w:r w:rsidR="00C928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embargos de declaração opostos por</w:t>
      </w:r>
      <w:r w:rsidR="00BD5A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Felipe de Oliveira Izabel em face do Ministério Público do Estado do Paraná, </w:t>
      </w:r>
      <w:r w:rsidR="001C5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tendo como objeto acórdão proferido pela 3ª Câmara Criminal do Tribunal de Justiça do Estado do Paraná em recurso de apelação (evento </w:t>
      </w:r>
      <w:r w:rsidR="00BD5AEE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r w:rsidR="001C5737">
        <w:rPr>
          <w:rFonts w:ascii="Times New Roman" w:eastAsia="Times New Roman" w:hAnsi="Times New Roman" w:cs="Times New Roman"/>
          <w:sz w:val="24"/>
          <w:szCs w:val="24"/>
          <w:lang w:eastAsia="pt-BR"/>
        </w:rPr>
        <w:t>5.1 – Ap).</w:t>
      </w:r>
    </w:p>
    <w:p w14:paraId="170C8871" w14:textId="45BD42C0" w:rsidR="001C5737" w:rsidRDefault="00BD5AEE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embargante sustenta em suas razões de inconformismo, em síntese, o acometimento do acórdão por vícios de omissão e contradição (evento 1.1).</w:t>
      </w:r>
    </w:p>
    <w:p w14:paraId="144B0B59" w14:textId="5BA9E139" w:rsidR="00516501" w:rsidRDefault="00516501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Instado, o Ministério Público de primeiro grau deixou de apresentar contrarrazões (evento</w:t>
      </w:r>
      <w:r w:rsidR="00BD5A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.1).</w:t>
      </w:r>
    </w:p>
    <w:p w14:paraId="75ED936A" w14:textId="6C959A62" w:rsidR="00516501" w:rsidRDefault="00516501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Opinou a Procuradoria-Geral de Justiça </w:t>
      </w:r>
      <w:r w:rsidR="00BD5A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pelo não conhecimento dos embargos, porquanto intempestivos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(evento 18.1).</w:t>
      </w:r>
    </w:p>
    <w:p w14:paraId="120EB578" w14:textId="2159328F" w:rsidR="00877694" w:rsidRPr="00B400E7" w:rsidRDefault="00877694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sz w:val="24"/>
          <w:szCs w:val="24"/>
          <w:lang w:eastAsia="pt-BR"/>
        </w:rPr>
        <w:t>É o necessário relato.</w:t>
      </w:r>
    </w:p>
    <w:p w14:paraId="2C4E3AC5" w14:textId="77777777" w:rsidR="003B44F2" w:rsidRPr="00B400E7" w:rsidRDefault="003B44F2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3E7BDA" w14:textId="590F2764" w:rsidR="00D74F23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 – VOTO E SUA FUNDAMENTAÇÃO</w:t>
      </w:r>
    </w:p>
    <w:p w14:paraId="3566FB40" w14:textId="20E5471C" w:rsidR="00C727D6" w:rsidRDefault="00C727D6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D30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16E5B43F" w14:textId="013DF374" w:rsidR="00BD5AEE" w:rsidRDefault="00BD5AEE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Proferido acórdão que negou provimento ao recurso da defesa, a respectiva intimação aperfeiçoou-se no dia 23-04-2024 (eventos 71 e 72).</w:t>
      </w:r>
    </w:p>
    <w:p w14:paraId="40B15AF8" w14:textId="6D4EAAD5" w:rsidR="00BD5AEE" w:rsidRDefault="00BD5AEE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recurso de embargos, conduto, foi protocolado tão somente no dia 08-05-2024 (evento 77), em data posterior ao prazo legal de 2 (dois) dias, previsto no artigo 619 do Código de Processo Penal.</w:t>
      </w:r>
    </w:p>
    <w:p w14:paraId="7DFC9873" w14:textId="04B4A546" w:rsidR="00BD5AEE" w:rsidRPr="00C727D6" w:rsidRDefault="00BD5AEE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Nesse contexto, a intempestividade constatada acarreta o não conhecimento do recurso.</w:t>
      </w:r>
    </w:p>
    <w:p w14:paraId="208EC1DA" w14:textId="77777777" w:rsidR="00ED3EC0" w:rsidRDefault="00ED3EC0" w:rsidP="0062078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D7B7D0" w14:textId="21352E32" w:rsidR="00D74F23" w:rsidRDefault="005665F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III – </w:t>
      </w:r>
      <w:r w:rsidR="00D74F23" w:rsidRPr="00C8503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DECISÃO</w:t>
      </w:r>
    </w:p>
    <w:p w14:paraId="1039FDBF" w14:textId="6C4197B8" w:rsidR="00BD5AEE" w:rsidRDefault="00BD5AEE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Ante o exposto, nos termos do artigo 182, inciso XIX, do Regimento Interno do Tribunal de Justiça </w:t>
      </w:r>
      <w:r w:rsidR="00275ADB">
        <w:rPr>
          <w:rFonts w:ascii="Times New Roman" w:eastAsia="Times New Roman" w:hAnsi="Times New Roman" w:cs="Times New Roman"/>
          <w:sz w:val="24"/>
          <w:szCs w:val="24"/>
          <w:lang w:eastAsia="pt-BR"/>
        </w:rPr>
        <w:t>do Estado do Paraná, não se conhece dos embargos de declaração opostos.</w:t>
      </w:r>
    </w:p>
    <w:p w14:paraId="2B666CEC" w14:textId="0ED5D4A5" w:rsidR="00275ADB" w:rsidRDefault="00275ADB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Intimem-se.</w:t>
      </w:r>
    </w:p>
    <w:p w14:paraId="3C4B8280" w14:textId="7089F5E2" w:rsidR="00275ADB" w:rsidRPr="00BD5AEE" w:rsidRDefault="00275ADB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Oportunamente, arquivem-se.</w:t>
      </w:r>
      <w:bookmarkEnd w:id="0"/>
    </w:p>
    <w:sectPr w:rsidR="00275ADB" w:rsidRPr="00BD5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2B72"/>
    <w:rsid w:val="00026881"/>
    <w:rsid w:val="000306E0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A1580"/>
    <w:rsid w:val="000A1845"/>
    <w:rsid w:val="000A2939"/>
    <w:rsid w:val="000A50E5"/>
    <w:rsid w:val="000B0707"/>
    <w:rsid w:val="000B081D"/>
    <w:rsid w:val="000B0F0C"/>
    <w:rsid w:val="000B1A3F"/>
    <w:rsid w:val="000C15F3"/>
    <w:rsid w:val="000C6FB3"/>
    <w:rsid w:val="000D324F"/>
    <w:rsid w:val="000D49BF"/>
    <w:rsid w:val="000D5CD1"/>
    <w:rsid w:val="000D62A2"/>
    <w:rsid w:val="000E2F5C"/>
    <w:rsid w:val="000E3D0A"/>
    <w:rsid w:val="000F1C40"/>
    <w:rsid w:val="000F2C6A"/>
    <w:rsid w:val="00101E92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C5737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299B"/>
    <w:rsid w:val="00275AD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A43F7"/>
    <w:rsid w:val="003B44F2"/>
    <w:rsid w:val="003B513B"/>
    <w:rsid w:val="003C7E9F"/>
    <w:rsid w:val="003E0B11"/>
    <w:rsid w:val="003F517F"/>
    <w:rsid w:val="00406FD8"/>
    <w:rsid w:val="00412E7C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1F56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E388C"/>
    <w:rsid w:val="004F0B40"/>
    <w:rsid w:val="004F1087"/>
    <w:rsid w:val="004F3F82"/>
    <w:rsid w:val="00502B69"/>
    <w:rsid w:val="005071BC"/>
    <w:rsid w:val="00515AF4"/>
    <w:rsid w:val="00516501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C4F6A"/>
    <w:rsid w:val="005D1A25"/>
    <w:rsid w:val="005D255C"/>
    <w:rsid w:val="005D3C95"/>
    <w:rsid w:val="005D4C96"/>
    <w:rsid w:val="005D737F"/>
    <w:rsid w:val="005E0749"/>
    <w:rsid w:val="005E2A5E"/>
    <w:rsid w:val="005E3E7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23A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339F"/>
    <w:rsid w:val="00A233AA"/>
    <w:rsid w:val="00A35175"/>
    <w:rsid w:val="00A559CE"/>
    <w:rsid w:val="00A6119C"/>
    <w:rsid w:val="00A61BEE"/>
    <w:rsid w:val="00A730B6"/>
    <w:rsid w:val="00A8064C"/>
    <w:rsid w:val="00A82B31"/>
    <w:rsid w:val="00A8725B"/>
    <w:rsid w:val="00A91602"/>
    <w:rsid w:val="00AA12F7"/>
    <w:rsid w:val="00AE125F"/>
    <w:rsid w:val="00AE29C5"/>
    <w:rsid w:val="00AE36A9"/>
    <w:rsid w:val="00AE4473"/>
    <w:rsid w:val="00AE4AB6"/>
    <w:rsid w:val="00AF4457"/>
    <w:rsid w:val="00AF58A2"/>
    <w:rsid w:val="00AF5D83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6675D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5AEE"/>
    <w:rsid w:val="00BD684A"/>
    <w:rsid w:val="00BF033D"/>
    <w:rsid w:val="00C007C7"/>
    <w:rsid w:val="00C02481"/>
    <w:rsid w:val="00C029A5"/>
    <w:rsid w:val="00C0763E"/>
    <w:rsid w:val="00C112E3"/>
    <w:rsid w:val="00C173E7"/>
    <w:rsid w:val="00C306F2"/>
    <w:rsid w:val="00C31E33"/>
    <w:rsid w:val="00C3291B"/>
    <w:rsid w:val="00C3476D"/>
    <w:rsid w:val="00C41024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D85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FF8"/>
    <w:rsid w:val="00DC0E99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2A00"/>
    <w:rsid w:val="00E73437"/>
    <w:rsid w:val="00E74DCB"/>
    <w:rsid w:val="00E80104"/>
    <w:rsid w:val="00E80A67"/>
    <w:rsid w:val="00E8589C"/>
    <w:rsid w:val="00E86068"/>
    <w:rsid w:val="00E86E75"/>
    <w:rsid w:val="00EA2D26"/>
    <w:rsid w:val="00EA3061"/>
    <w:rsid w:val="00EA4F00"/>
    <w:rsid w:val="00EB4393"/>
    <w:rsid w:val="00EC08E0"/>
    <w:rsid w:val="00EC2C3C"/>
    <w:rsid w:val="00ED366A"/>
    <w:rsid w:val="00ED3EC0"/>
    <w:rsid w:val="00ED3ED7"/>
    <w:rsid w:val="00ED47AD"/>
    <w:rsid w:val="00ED65FE"/>
    <w:rsid w:val="00ED725B"/>
    <w:rsid w:val="00F008F7"/>
    <w:rsid w:val="00F010CE"/>
    <w:rsid w:val="00F017B0"/>
    <w:rsid w:val="00F0477B"/>
    <w:rsid w:val="00F1798B"/>
    <w:rsid w:val="00F205BE"/>
    <w:rsid w:val="00F2142B"/>
    <w:rsid w:val="00F21F1A"/>
    <w:rsid w:val="00F355C7"/>
    <w:rsid w:val="00F4269A"/>
    <w:rsid w:val="00F4476F"/>
    <w:rsid w:val="00F46D67"/>
    <w:rsid w:val="00F50730"/>
    <w:rsid w:val="00F56BB2"/>
    <w:rsid w:val="00F60064"/>
    <w:rsid w:val="00F60AB3"/>
    <w:rsid w:val="00F718E9"/>
    <w:rsid w:val="00F933D7"/>
    <w:rsid w:val="00F94657"/>
    <w:rsid w:val="00FA110F"/>
    <w:rsid w:val="00FB1209"/>
    <w:rsid w:val="00FB3400"/>
    <w:rsid w:val="00FB4645"/>
    <w:rsid w:val="00FB646C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CF313A-0219-4588-8D85-3A0B6518B1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3B88A0-15A1-4A32-9FEE-579CA8E06530}"/>
</file>

<file path=customXml/itemProps3.xml><?xml version="1.0" encoding="utf-8"?>
<ds:datastoreItem xmlns:ds="http://schemas.openxmlformats.org/officeDocument/2006/customXml" ds:itemID="{56925E79-C860-4344-89E0-D4F6900C3EA7}"/>
</file>

<file path=customXml/itemProps4.xml><?xml version="1.0" encoding="utf-8"?>
<ds:datastoreItem xmlns:ds="http://schemas.openxmlformats.org/officeDocument/2006/customXml" ds:itemID="{BA9C30E8-A5E6-407B-B41B-4E56F9BD3D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20</cp:revision>
  <cp:lastPrinted>2023-02-01T16:46:00Z</cp:lastPrinted>
  <dcterms:created xsi:type="dcterms:W3CDTF">2023-06-15T19:39:00Z</dcterms:created>
  <dcterms:modified xsi:type="dcterms:W3CDTF">2024-07-03T18:26:00Z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325800</vt:r8>
  </property>
</Properties>
</file>