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022" w:rsidRPr="009B092E" w:rsidRDefault="000F3022" w:rsidP="000F3022">
      <w:pPr>
        <w:pStyle w:val="NormalWeb"/>
        <w:spacing w:before="240" w:beforeAutospacing="0" w:after="240" w:afterAutospacing="0" w:line="360" w:lineRule="auto"/>
        <w:ind w:firstLine="709"/>
        <w:jc w:val="both"/>
      </w:pPr>
      <w:bookmarkStart w:id="0" w:name="_GoBack"/>
      <w:r w:rsidRPr="009B092E">
        <w:rPr>
          <w:b/>
          <w:bCs/>
        </w:rPr>
        <w:t>I - RELATÓRIO</w:t>
      </w:r>
    </w:p>
    <w:p w:rsidR="00BC7004" w:rsidRDefault="000F3022" w:rsidP="001C009E">
      <w:pPr>
        <w:pStyle w:val="NormalWeb"/>
        <w:spacing w:before="240" w:beforeAutospacing="0" w:after="240" w:afterAutospacing="0" w:line="360" w:lineRule="auto"/>
        <w:ind w:firstLine="709"/>
        <w:jc w:val="both"/>
      </w:pPr>
      <w:r w:rsidRPr="009B092E">
        <w:t>Cuida-</w:t>
      </w:r>
      <w:r w:rsidR="001C009E" w:rsidRPr="009B092E">
        <w:t xml:space="preserve">se de revisão criminal, com pedido liminar, proposta por </w:t>
      </w:r>
      <w:r w:rsidR="00BC7004">
        <w:t xml:space="preserve">Gerson </w:t>
      </w:r>
      <w:proofErr w:type="spellStart"/>
      <w:r w:rsidR="00BC7004">
        <w:t>Starke</w:t>
      </w:r>
      <w:proofErr w:type="spellEnd"/>
      <w:r w:rsidR="00BC7004">
        <w:t>, tendo como objeto pronunciamento judicial que julgou procedente pretensão acusatória estatal para condenar-lhe à pena de 9 (nove) anos e 4 (quatro) meses de reclusão, em regime fechado, pela prática do crime previsto no artigo 217-A, na forma do artigo 14, inciso II, ambos do Código Penal (evento 1.1).</w:t>
      </w:r>
    </w:p>
    <w:p w:rsidR="00BC7004" w:rsidRDefault="009B63B2" w:rsidP="001C009E">
      <w:pPr>
        <w:pStyle w:val="NormalWeb"/>
        <w:spacing w:before="240" w:beforeAutospacing="0" w:after="240" w:afterAutospacing="0" w:line="360" w:lineRule="auto"/>
        <w:ind w:firstLine="709"/>
        <w:jc w:val="both"/>
      </w:pPr>
      <w:r w:rsidRPr="009B092E">
        <w:t xml:space="preserve">Postula o requerente, em apertada síntese, </w:t>
      </w:r>
      <w:r w:rsidR="009B092E">
        <w:t xml:space="preserve">a concessão de tutela de urgência </w:t>
      </w:r>
      <w:r w:rsidR="00254906">
        <w:t>para suspender os efeitos executórios da sentença condenatória sob o argumento de que novo elemento de prova, consistente na oitiva da psicóloga terapeuta da ofendida, indica nulidade dos relatórios psicológicos produzidos na fase instrutória (evento 1.1).</w:t>
      </w:r>
    </w:p>
    <w:p w:rsidR="001C009E" w:rsidRDefault="009B63B2" w:rsidP="001C009E">
      <w:pPr>
        <w:pStyle w:val="NormalWeb"/>
        <w:spacing w:before="240" w:beforeAutospacing="0" w:after="240" w:afterAutospacing="0" w:line="360" w:lineRule="auto"/>
        <w:ind w:firstLine="709"/>
        <w:jc w:val="both"/>
      </w:pPr>
      <w:r>
        <w:t>É o necessário relato.</w:t>
      </w:r>
    </w:p>
    <w:p w:rsidR="009B092E" w:rsidRDefault="009B092E" w:rsidP="001C009E">
      <w:pPr>
        <w:pStyle w:val="NormalWeb"/>
        <w:spacing w:before="240" w:beforeAutospacing="0" w:after="240" w:afterAutospacing="0" w:line="360" w:lineRule="auto"/>
        <w:ind w:firstLine="709"/>
        <w:jc w:val="both"/>
      </w:pPr>
    </w:p>
    <w:p w:rsidR="000F3022" w:rsidRDefault="000F3022" w:rsidP="000F3022">
      <w:pPr>
        <w:pStyle w:val="NormalWeb"/>
        <w:spacing w:before="240" w:beforeAutospacing="0" w:after="240" w:afterAutospacing="0" w:line="360" w:lineRule="auto"/>
        <w:ind w:firstLine="709"/>
        <w:jc w:val="both"/>
        <w:rPr>
          <w:b/>
          <w:bCs/>
        </w:rPr>
      </w:pPr>
      <w:r>
        <w:rPr>
          <w:b/>
          <w:bCs/>
        </w:rPr>
        <w:t>II – FUNDAMENTAÇÃO</w:t>
      </w:r>
    </w:p>
    <w:p w:rsidR="00254906" w:rsidRDefault="00FC45A0" w:rsidP="00FC45A0">
      <w:pPr>
        <w:pStyle w:val="NormalWeb"/>
        <w:spacing w:before="240" w:beforeAutospacing="0" w:after="240" w:afterAutospacing="0" w:line="360" w:lineRule="auto"/>
        <w:ind w:firstLine="709"/>
        <w:jc w:val="both"/>
      </w:pPr>
      <w:r>
        <w:t xml:space="preserve">Passa-se, à luz do disposto no artigo 300, do Código de Processo Civil, </w:t>
      </w:r>
      <w:r>
        <w:rPr>
          <w:i/>
        </w:rPr>
        <w:t>in analogia</w:t>
      </w:r>
      <w:r>
        <w:t>, ao exame do requerimento de tutela provisória de urgência para suspender os efeitos</w:t>
      </w:r>
      <w:r w:rsidR="00254906">
        <w:t xml:space="preserve"> executivos da sentença condenatória.</w:t>
      </w:r>
    </w:p>
    <w:p w:rsidR="00654E3D" w:rsidRDefault="00654E3D" w:rsidP="00FC45A0">
      <w:pPr>
        <w:pStyle w:val="NormalWeb"/>
        <w:spacing w:before="240" w:beforeAutospacing="0" w:after="240" w:afterAutospacing="0" w:line="360" w:lineRule="auto"/>
        <w:ind w:firstLine="709"/>
        <w:jc w:val="both"/>
      </w:pPr>
      <w:r>
        <w:t xml:space="preserve">Em que pesem os argumentos deduzidos pelo requerente, </w:t>
      </w:r>
      <w:r w:rsidR="00077F77">
        <w:t>inexiste efetiva demonstração da probabilidade do direito a ensejar a concessão liminar da tutela postulada.</w:t>
      </w:r>
    </w:p>
    <w:p w:rsidR="00254906" w:rsidRDefault="00254906" w:rsidP="005D163C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>Cinge-se a alegação do requerente ao argumento de nulidade dos relatórios requisitados à psicóloga terapeuta da ofendida, em razão de suposta utilização deste elemento como se prova pericial fosse. Tratando-se de perícia, não poderia a psicóloga clínica da infante atuar em correlata função porquanto suspeita. Nesse contexto, a prova estaria eivada de nulidade, restando prejudicada a materialidade delitiva.</w:t>
      </w:r>
    </w:p>
    <w:p w:rsidR="00254906" w:rsidRDefault="00254906" w:rsidP="005D163C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Infere-se dos autos que a matéria deduzida na revisão criminal foi objeto de análise, tanto na sentença condenatória (evento </w:t>
      </w:r>
      <w:r w:rsidR="008A1AF4">
        <w:rPr>
          <w:sz w:val="24"/>
        </w:rPr>
        <w:t xml:space="preserve">242.1 – autos nº </w:t>
      </w:r>
      <w:r w:rsidR="008A1AF4" w:rsidRPr="008A1AF4">
        <w:rPr>
          <w:sz w:val="24"/>
        </w:rPr>
        <w:t>0036787-52.2020.8.16.0019</w:t>
      </w:r>
      <w:r>
        <w:rPr>
          <w:sz w:val="24"/>
        </w:rPr>
        <w:t>), quanto no acórdão que o confirmou (evento</w:t>
      </w:r>
      <w:r w:rsidR="008A1AF4">
        <w:rPr>
          <w:sz w:val="24"/>
        </w:rPr>
        <w:t xml:space="preserve"> 92.1 - </w:t>
      </w:r>
      <w:r w:rsidR="008A1AF4" w:rsidRPr="008A1AF4">
        <w:rPr>
          <w:sz w:val="24"/>
        </w:rPr>
        <w:t>0036787-52.2020.8.16.0019</w:t>
      </w:r>
      <w:r w:rsidR="008A1AF4">
        <w:rPr>
          <w:sz w:val="24"/>
        </w:rPr>
        <w:t xml:space="preserve"> </w:t>
      </w:r>
      <w:proofErr w:type="spellStart"/>
      <w:r w:rsidR="008A1AF4">
        <w:rPr>
          <w:sz w:val="24"/>
        </w:rPr>
        <w:t>Ap</w:t>
      </w:r>
      <w:proofErr w:type="spellEnd"/>
      <w:r w:rsidR="008A1AF4">
        <w:rPr>
          <w:sz w:val="24"/>
        </w:rPr>
        <w:t>)</w:t>
      </w:r>
      <w:r>
        <w:rPr>
          <w:sz w:val="24"/>
        </w:rPr>
        <w:t>. A conclusão, em ambos pronunciamentos decisórios, foi pela não caracterização de trabalho pericial.</w:t>
      </w:r>
    </w:p>
    <w:p w:rsidR="00254906" w:rsidRDefault="00254906" w:rsidP="005D163C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O novo elemento de informação, tanto assim considerado o depoimento pessoal da psicóloga, </w:t>
      </w:r>
      <w:r w:rsidR="008A1AF4">
        <w:rPr>
          <w:sz w:val="24"/>
        </w:rPr>
        <w:t xml:space="preserve">conquanto retrate a opinião pessoal da depoente sobre sua atuação, não permite identificar, </w:t>
      </w:r>
      <w:r w:rsidR="008A1AF4">
        <w:rPr>
          <w:i/>
          <w:sz w:val="24"/>
        </w:rPr>
        <w:t xml:space="preserve">primo </w:t>
      </w:r>
      <w:proofErr w:type="spellStart"/>
      <w:r w:rsidR="008A1AF4">
        <w:rPr>
          <w:i/>
          <w:sz w:val="24"/>
        </w:rPr>
        <w:t>ictu</w:t>
      </w:r>
      <w:proofErr w:type="spellEnd"/>
      <w:r w:rsidR="008A1AF4">
        <w:rPr>
          <w:i/>
          <w:sz w:val="24"/>
        </w:rPr>
        <w:t xml:space="preserve"> </w:t>
      </w:r>
      <w:proofErr w:type="spellStart"/>
      <w:r w:rsidR="008A1AF4">
        <w:rPr>
          <w:i/>
          <w:sz w:val="24"/>
        </w:rPr>
        <w:t>oculi</w:t>
      </w:r>
      <w:proofErr w:type="spellEnd"/>
      <w:r w:rsidR="008A1AF4">
        <w:rPr>
          <w:sz w:val="24"/>
        </w:rPr>
        <w:t>, o desenvolvimento de um trabalho pericial, na forma do artigo 464, e seguintes, do Código de Processo Penal.</w:t>
      </w:r>
    </w:p>
    <w:p w:rsidR="008A1AF4" w:rsidRPr="008A1AF4" w:rsidRDefault="008A1AF4" w:rsidP="005D163C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Entrementes, o escorreito enfrentamento da matéria pressupõe efetivo exaurimento cognitivo, impróprio a este momento preliminar, restrito à análise perfunctória do requerimento. </w:t>
      </w:r>
    </w:p>
    <w:p w:rsidR="009B63B2" w:rsidRDefault="008A1AF4" w:rsidP="005D163C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>Assim,</w:t>
      </w:r>
      <w:r w:rsidR="005D163C">
        <w:rPr>
          <w:sz w:val="24"/>
        </w:rPr>
        <w:t xml:space="preserve"> </w:t>
      </w:r>
      <w:r>
        <w:rPr>
          <w:sz w:val="24"/>
        </w:rPr>
        <w:t xml:space="preserve">conquanto </w:t>
      </w:r>
      <w:r w:rsidR="005D163C">
        <w:rPr>
          <w:sz w:val="24"/>
        </w:rPr>
        <w:t>provisórias e inconclusivas as premissas adotas,</w:t>
      </w:r>
      <w:r w:rsidR="001753DF">
        <w:rPr>
          <w:sz w:val="24"/>
        </w:rPr>
        <w:t xml:space="preserve"> </w:t>
      </w:r>
      <w:r w:rsidR="009B63B2">
        <w:rPr>
          <w:sz w:val="24"/>
        </w:rPr>
        <w:t>não se verifica suficiente comprovação da probabilidade do direito a admitir, em sede de tutela liminar de urgência, a suspensão dos feitos da condenação neste momento incipiente do percurso procedimental.</w:t>
      </w:r>
    </w:p>
    <w:p w:rsidR="000A0784" w:rsidRDefault="000A0784" w:rsidP="000A0784">
      <w:pPr>
        <w:spacing w:after="240" w:line="360" w:lineRule="auto"/>
        <w:ind w:firstLine="709"/>
        <w:jc w:val="both"/>
      </w:pPr>
    </w:p>
    <w:p w:rsidR="000F3022" w:rsidRDefault="000F3022" w:rsidP="000F3022">
      <w:pPr>
        <w:pStyle w:val="NormalWeb"/>
        <w:ind w:firstLine="708"/>
        <w:jc w:val="both"/>
      </w:pPr>
      <w:r>
        <w:rPr>
          <w:b/>
          <w:bCs/>
        </w:rPr>
        <w:t>III – DECISÃO</w:t>
      </w:r>
    </w:p>
    <w:p w:rsidR="005D163C" w:rsidRDefault="005D163C" w:rsidP="005D163C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>Ante o exposto, indef</w:t>
      </w:r>
      <w:r w:rsidR="00382CDE">
        <w:rPr>
          <w:sz w:val="24"/>
        </w:rPr>
        <w:t>er</w:t>
      </w:r>
      <w:r>
        <w:rPr>
          <w:sz w:val="24"/>
        </w:rPr>
        <w:t>e-se a liminar postulada.</w:t>
      </w:r>
    </w:p>
    <w:p w:rsidR="005D163C" w:rsidRDefault="005D163C" w:rsidP="005D163C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>Abra-se vista dos autos à Procuradoria-Geral de Justiça.</w:t>
      </w:r>
    </w:p>
    <w:p w:rsidR="005D163C" w:rsidRDefault="005D163C" w:rsidP="005D163C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>Após, concluam-se os autos.</w:t>
      </w:r>
    </w:p>
    <w:bookmarkEnd w:id="0"/>
    <w:p w:rsidR="00DA36D7" w:rsidRPr="003F654D" w:rsidRDefault="00DA36D7" w:rsidP="005D163C">
      <w:pPr>
        <w:pStyle w:val="NormalWeb"/>
        <w:ind w:firstLine="708"/>
        <w:jc w:val="both"/>
      </w:pPr>
    </w:p>
    <w:sectPr w:rsidR="00DA36D7" w:rsidRPr="003F65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0F7885"/>
    <w:multiLevelType w:val="hybridMultilevel"/>
    <w:tmpl w:val="E94C9E90"/>
    <w:lvl w:ilvl="0" w:tplc="50F41C6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CE9"/>
    <w:rsid w:val="000030E3"/>
    <w:rsid w:val="00051989"/>
    <w:rsid w:val="00077F77"/>
    <w:rsid w:val="000A0784"/>
    <w:rsid w:val="000F3022"/>
    <w:rsid w:val="001753DF"/>
    <w:rsid w:val="001C009E"/>
    <w:rsid w:val="001C6786"/>
    <w:rsid w:val="00206E94"/>
    <w:rsid w:val="00254906"/>
    <w:rsid w:val="002A7FA2"/>
    <w:rsid w:val="00341A66"/>
    <w:rsid w:val="00382CDE"/>
    <w:rsid w:val="00430313"/>
    <w:rsid w:val="005D163C"/>
    <w:rsid w:val="00654E3D"/>
    <w:rsid w:val="00704CE9"/>
    <w:rsid w:val="00714E8E"/>
    <w:rsid w:val="00733889"/>
    <w:rsid w:val="007B5FBA"/>
    <w:rsid w:val="008515C2"/>
    <w:rsid w:val="008860B0"/>
    <w:rsid w:val="008A1AF4"/>
    <w:rsid w:val="008F6765"/>
    <w:rsid w:val="009B092E"/>
    <w:rsid w:val="009B63B2"/>
    <w:rsid w:val="00B46B40"/>
    <w:rsid w:val="00BC7004"/>
    <w:rsid w:val="00BD3F10"/>
    <w:rsid w:val="00C20355"/>
    <w:rsid w:val="00C30862"/>
    <w:rsid w:val="00C34F81"/>
    <w:rsid w:val="00C957C8"/>
    <w:rsid w:val="00D0317A"/>
    <w:rsid w:val="00D72BA8"/>
    <w:rsid w:val="00DA36D7"/>
    <w:rsid w:val="00E30711"/>
    <w:rsid w:val="00E85CDF"/>
    <w:rsid w:val="00F90256"/>
    <w:rsid w:val="00FC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D3351"/>
  <w15:chartTrackingRefBased/>
  <w15:docId w15:val="{C6A62FBA-12A7-48D2-B566-EFDA2001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6D7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3022"/>
    <w:pPr>
      <w:suppressAutoHyphens w:val="0"/>
      <w:overflowPunct/>
      <w:autoSpaceDE/>
      <w:spacing w:before="100" w:beforeAutospacing="1" w:after="100" w:afterAutospacing="1"/>
      <w:textAlignment w:val="auto"/>
    </w:pPr>
    <w:rPr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5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9BC8C8-8FB5-4CD4-98B9-A0A4ACAFBFA4}"/>
</file>

<file path=customXml/itemProps2.xml><?xml version="1.0" encoding="utf-8"?>
<ds:datastoreItem xmlns:ds="http://schemas.openxmlformats.org/officeDocument/2006/customXml" ds:itemID="{616A9C4E-4D9E-40B3-A074-6C68A8269746}"/>
</file>

<file path=customXml/itemProps3.xml><?xml version="1.0" encoding="utf-8"?>
<ds:datastoreItem xmlns:ds="http://schemas.openxmlformats.org/officeDocument/2006/customXml" ds:itemID="{EC02A3AE-6085-45AD-AA9B-C23BC00819B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439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8</cp:revision>
  <dcterms:created xsi:type="dcterms:W3CDTF">2023-10-16T20:56:00Z</dcterms:created>
  <dcterms:modified xsi:type="dcterms:W3CDTF">2024-01-16T21:25:00Z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326800</vt:r8>
  </property>
</Properties>
</file>