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7B" w:rsidRDefault="00E705E7" w:rsidP="00E705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HABEAS CORPUS. TRÁFICO DE DROGAS.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ASSOCIAÇÃO PARA O TRÁFICO. </w:t>
      </w:r>
      <w:proofErr w:type="spellStart"/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</w:t>
      </w:r>
      <w:proofErr w:type="spellEnd"/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33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35</w:t>
      </w:r>
      <w:r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LEI 11.343/2006.</w:t>
      </w:r>
      <w:r w:rsidR="00C0377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INDÍCIOS DE PARTICIPAÇÃO EM ORGANIZAÇÃO CRIMINOSA. POSIÇÃO DE LIDERANÇA. RISCO CONCRETO DE REITERAÇÃO. HABITUALIDADE DELITIVA. PROPORCIONALIDADE. </w:t>
      </w:r>
      <w:r w:rsidR="00687B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INDÍCIOS DE AUTORIA INSUFICIENTES PARA JUSTIFICAR APLICAÇÃO DA PRISÃO COMO MEDIDA CAUTELAR. NECESSIDADE DE GARANTIA DA ORDEM PÚBLICA. MEDIDAS CAUTELARES ALTERNATIVAS. SUFICIÊNCIA E ADEQUAÇÃO. JUÍZO PROVISÓRIO. REBUS SIC </w:t>
      </w:r>
      <w:proofErr w:type="spellStart"/>
      <w:r w:rsidR="00687B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STANDIBUS</w:t>
      </w:r>
      <w:proofErr w:type="spellEnd"/>
      <w:r w:rsidR="00687B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ORDEM CONHECIDA E PARCIALMENTE CONCEDIDA.</w:t>
      </w:r>
    </w:p>
    <w:p w:rsidR="00121F8A" w:rsidRDefault="00121F8A" w:rsidP="00E705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</w:t>
      </w:r>
      <w:r w:rsidR="00687B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Nos termos do artigo 312, do Código de Processo Penal, a decretação da prisão preventiva exige, em termos de standard probatório, indicação de autoria compatível com a gravidade da medida de total restrição de liberdade.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E705E7" w:rsidRDefault="00121F8A" w:rsidP="00E705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E705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E705E7" w:rsidRPr="001606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necessidade de se interromper ou diminuir a atuação de integrantes de organização criminosa enquadra-se no conceito de garantia da ordem pública, constituindo fundamentação cautelar idônea e suficiente </w:t>
      </w:r>
      <w:r w:rsidR="00687B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à aplicação de medidas cautelares</w:t>
      </w:r>
      <w:r w:rsidR="00E705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E705E7" w:rsidRDefault="00121F8A" w:rsidP="00E705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E705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E705E7" w:rsidRPr="00121F8A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Writ</w:t>
      </w:r>
      <w:r w:rsidR="00E705E7" w:rsidRPr="00CD18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conhecido. Ordem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parcialmente concedida.</w:t>
      </w:r>
    </w:p>
    <w:p w:rsidR="00E705E7" w:rsidRDefault="00E705E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:rsidR="00C0377B" w:rsidRDefault="00687BDB" w:rsidP="00C0377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da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habeas corpus</w:t>
      </w:r>
      <w:r w:rsidR="00121F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="00121F8A">
        <w:rPr>
          <w:rFonts w:ascii="Times New Roman" w:eastAsia="Times New Roman" w:hAnsi="Times New Roman" w:cs="Times New Roman"/>
          <w:sz w:val="24"/>
          <w:szCs w:val="24"/>
          <w:lang w:eastAsia="pt-BR"/>
        </w:rPr>
        <w:t>impetrado pelo advogado Diego Rodrigues Pires em favor do paciente Marcos Paulo Oliveira de Souza, tendo como objeto decreto de prisão preventiva proferido pelo juízo da V</w:t>
      </w:r>
      <w:r w:rsidR="00C037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 Criminal de Siqueira Campos. </w:t>
      </w:r>
      <w:r w:rsidR="00C0377B">
        <w:rPr>
          <w:rFonts w:ascii="Times New Roman" w:hAnsi="Times New Roman" w:cs="Times New Roman"/>
          <w:sz w:val="24"/>
          <w:szCs w:val="24"/>
        </w:rPr>
        <w:t xml:space="preserve">A prisão preventiva, decretada para garantia da ordem pública, orientada pela hipótese da prática dos crimes de tráfico de drogas e associação para o tráfico, fundamentou-se na possiblidade de reiteração delitiva matizada no modus operandi empregado para a prática das condutas apuradas </w:t>
      </w:r>
      <w:r w:rsidR="00C037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(evento 67.1, </w:t>
      </w:r>
      <w:r w:rsidR="00C0377B" w:rsidRPr="00C037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autos nº </w:t>
      </w:r>
      <w:r w:rsidR="00C0377B" w:rsidRPr="00C0377B">
        <w:rPr>
          <w:rFonts w:ascii="Times New Roman" w:hAnsi="Times New Roman" w:cs="Times New Roman"/>
          <w:sz w:val="24"/>
          <w:szCs w:val="24"/>
        </w:rPr>
        <w:t>0000460-59.2023.8.16.0163).</w:t>
      </w:r>
    </w:p>
    <w:p w:rsidR="00C0377B" w:rsidRDefault="00C0377B" w:rsidP="00C0377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Eis, em síntese, os argumentos da impetração: a) inidoneidade da fundamentação da decretação da prisão; b) ausência de indicativos de violência ou grave ameaça; c) condições pessoais favoráveis; d) violação ao princípio da homogeneidade; e) suficiência, para garantia da ordem pública, de medidas cautelares alternativas (evento 1.1). </w:t>
      </w:r>
    </w:p>
    <w:p w:rsidR="00C0377B" w:rsidRDefault="00C0377B" w:rsidP="00C0377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Opinou a Procuradoria-Geral de Justiça pelo conhecimento e denegação da ordem, mantendo-se incólume o título prisional (evento 15.1).</w:t>
      </w:r>
    </w:p>
    <w:p w:rsidR="00C0377B" w:rsidRDefault="00C0377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necessário relato.</w:t>
      </w:r>
    </w:p>
    <w:p w:rsidR="00C0377B" w:rsidRDefault="00C0377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bookmarkStart w:id="0" w:name="_GoBack"/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DO JUÍZO DE ADMISSIBILIDADE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processuais, conhece-se da ordem impetrada.</w:t>
      </w:r>
    </w:p>
    <w:p w:rsidR="00E44797" w:rsidRDefault="00E4479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DO CONSTRANGIMENTO ILEGAL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paciente Marcos Paulo Oliveira de Souza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teve sua prisão preventiva decretada pelo juízo da Vara Criminal de Siqueira Campos, para garantia da ordem pública, em razão da hipótese da prática dos delitos de tráfico de </w:t>
      </w:r>
      <w:r w:rsidR="00300773">
        <w:rPr>
          <w:rFonts w:ascii="Times New Roman" w:eastAsia="Times New Roman" w:hAnsi="Times New Roman" w:cs="Times New Roman"/>
          <w:sz w:val="24"/>
          <w:szCs w:val="24"/>
          <w:lang w:eastAsia="pt-BR"/>
        </w:rPr>
        <w:t>drogas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associação </w:t>
      </w:r>
      <w:r w:rsidR="00300773">
        <w:rPr>
          <w:rFonts w:ascii="Times New Roman" w:eastAsia="Times New Roman" w:hAnsi="Times New Roman" w:cs="Times New Roman"/>
          <w:sz w:val="24"/>
          <w:szCs w:val="24"/>
          <w:lang w:eastAsia="pt-BR"/>
        </w:rPr>
        <w:t>criminosa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67.1 – autos nº 0000460-59.2023.8.16.0163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C3A16" w:rsidRDefault="000C3A1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busca e apreensão direcionada à codenunciada Samira Elisangela dos Santos (autos nº 0000225-92.2023.8.16.0163), a Polícia Judiciária apreendeu um telefone celular da marca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Xiaomi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modelo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Redmi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9S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O relatório das análise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aparelho 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 conversas daquela com uma pessoa qualificada como “Barbeiro” o qual, pelo conteúdo dos diálogos, a coordenava no desempenho do comércio de entorpecentes (evento 7</w:t>
      </w:r>
      <w:r w:rsidR="00E705E7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>.1 – Ação Penal).</w:t>
      </w:r>
    </w:p>
    <w:p w:rsidR="00A44DD6" w:rsidRDefault="00A44D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Referido elemento de informação indica o paciente Marcos Paulo de Oliveira de Souza como “Barbeiro”, líder do consórcio criminoso integrado por Samira Elisangela dos Santos, com atuação na venda de entorpecentes na cidade de Siqueira Campos.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nto, o relatório das investigações não evidencia, de maneira detalhada, as razões que levaram a Polícia Judiciária concluir que o paciente é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>, efetivamente,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pessoa do “Barbeiro”.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ignora a extrema gravidade das condutas investigadas, mas a decretação da prisão pre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ventiva exige, nos termos do artigo 312, do Código de Processo Penal, prova da existência do crime e indício suficiente de autoria.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 interpretação gramatical que se faz do mencionado dispositivo de lei, a análise sobre a suficiência do indício de au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toria, para a finalidade de decretação da prisão preventiva, indica que,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termos de standard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consistência probatória 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indicação de autoria deve ser compatível com a gravidade da prisão.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:rsidR="00E44797" w:rsidRDefault="00687BDB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AGRAVO REGIMENT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AL NO HABEAS CORPUS. PORTE ILEGAL DE ARMA DE FOGO. PRISÃO PREVENTIVA. FUMUS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COMISSI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DELICTI. INSUFICIÊNCIA. AGRAVO REGIMENTAL PROVIDO. 1. A prisão preventiva possui natureza excepcional, sempre sujeita a reavaliação, de modo que a decisão judicial que a im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põe ou a mantém, para compatibilizar-se com a presunção de não culpabilidade e com o Estado Democrático de Direito - o qual se ocupa de proteger tanto a liberdade individual quanto a segurança e a paz públicas -, deve ser suficientemente motivada, com indi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cação concreta das razões fáticas e jurídicas que justificam a cautela, nos termos dos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arts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. 312, 313 e 282, I e II, do Código de Processo Penal. 2. Antes da averiguação da necessidade ou não do uso da segregação cautelar, é indispensável que se comprove a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materialidade do crime e se indiquem indícios suficientes de sua autoria, pressuposto para impor tão gravoso sacrifício ao investigado ou réu. 3. Na hipótese, não foi indicada nenhuma circunstância relacionada ao paciente para demonstrar a necessidade de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sua prisão provisória, além do seu histórico delitivo. 4. O Juízo singular apenas referiu haver prova da materialidade e indícios de autoria delitiva, notadamente pelo autuado estar no veículo no qual foi apreendida a arma de fogo e por ser "famoso" no sis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tema prisional, sem mencionar outros dados que evidenciassem o efetivo compartilhamento da arma de fogo ou unidade de desígnios para a empreitada criminosa. 5. Ausente, pois, o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pt-BR"/>
        </w:rPr>
        <w:t xml:space="preserve">fumus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4"/>
          <w:lang w:eastAsia="pt-BR"/>
        </w:rPr>
        <w:t>comissi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4"/>
          <w:lang w:eastAsia="pt-BR"/>
        </w:rPr>
        <w:t xml:space="preserve"> delicti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, o cárcere cautelar torna-se temerário, ainda que se possa dar prosseguimento à ação penal e obter-se, em seu curso, a apuração dos fatos. </w:t>
      </w:r>
      <w:r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6. Agravo regimental provido para conceder a ordem para tornar sem efeito a decisão que decretou a prisão preventiva</w:t>
      </w:r>
      <w:r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 xml:space="preserve"> do réu, ressalvada a possibilidade de nova imposição da cautela extrema caso efetivamente demonstrada a sua necessidade, sem prejuízo de fixação de medida alternativa, nos termos do art. 319 do CPP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. (STJ -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AgRg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no HC: 567434 RS 2020/0070976-3, Relator: Mi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nistro ROGERIO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SCHIETTI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CRUZ, Data de Julgamento: 17/11/2020,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T6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- SEXTA TURMA, Data de Publicação: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DJe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24/11/2020)</w:t>
      </w:r>
      <w:r w:rsidR="00300773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A44DD6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contexto dos autos, a ausência de demo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nstração específica e detalhada,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como a investigação culminou com a identificação do paciente</w:t>
      </w:r>
      <w:r w:rsidR="00A44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líder da organização, não permite, conforme critério decisório orientado pelo princípio da proporcionalidade, a aplicação da prisão como medida cautelar.</w:t>
      </w:r>
    </w:p>
    <w:p w:rsidR="00E705E7" w:rsidRDefault="00E705E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não se pode perder de vista a extrema gravidade dos fatos, que exprimem, como sobredito, hipótese de participação, em posto de liderança regional, de complexa organização criminosa voltada à prática de tráfico de drogas (evento 71.1 – Ação Penal).</w:t>
      </w:r>
    </w:p>
    <w:p w:rsidR="00E705E7" w:rsidRDefault="00E705E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entendimento adotado no Superior Tribunal de Justiça, </w:t>
      </w:r>
      <w:r w:rsidR="00121F8A">
        <w:rPr>
          <w:rFonts w:ascii="Times New Roman" w:eastAsia="Times New Roman" w:hAnsi="Times New Roman" w:cs="Times New Roman"/>
          <w:sz w:val="24"/>
          <w:szCs w:val="24"/>
          <w:lang w:eastAsia="pt-BR"/>
        </w:rPr>
        <w:t>a necessidade de se interromper ou diminuir a atuação de integrantes de organização criminosa enquadra-se no conceito de ordem pública, constituindo fundamentação cautelar idônea.</w:t>
      </w:r>
    </w:p>
    <w:p w:rsidR="00121F8A" w:rsidRDefault="00121F8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Colaciona-se, pois, o seguinte precedente:</w:t>
      </w:r>
    </w:p>
    <w:p w:rsidR="00E705E7" w:rsidRDefault="00E705E7" w:rsidP="00E705E7">
      <w:pPr>
        <w:pStyle w:val="NormalWeb"/>
        <w:shd w:val="clear" w:color="auto" w:fill="FFFFFF"/>
        <w:spacing w:before="600" w:beforeAutospacing="0" w:after="600" w:afterAutospacing="0" w:line="360" w:lineRule="auto"/>
        <w:ind w:left="2268"/>
        <w:jc w:val="both"/>
        <w:rPr>
          <w:spacing w:val="2"/>
          <w:sz w:val="20"/>
          <w:szCs w:val="30"/>
        </w:rPr>
      </w:pPr>
      <w:r w:rsidRPr="00281D54">
        <w:rPr>
          <w:spacing w:val="2"/>
          <w:sz w:val="20"/>
          <w:szCs w:val="30"/>
        </w:rPr>
        <w:t xml:space="preserve">RECURSO EM HABEAS CORPUS. ORGANIZAÇÃO CRIMINOSA. PRISÃO PREVENTIVA. MATERIALIDADE E INDÍCIOS DE AUTORIA DEMONSTRADOS. FALTA DE CONTEMPORANEIDADE. PERICULUM </w:t>
      </w:r>
      <w:proofErr w:type="spellStart"/>
      <w:r w:rsidRPr="00281D54">
        <w:rPr>
          <w:spacing w:val="2"/>
          <w:sz w:val="20"/>
          <w:szCs w:val="30"/>
        </w:rPr>
        <w:t>LIBERTATIS</w:t>
      </w:r>
      <w:proofErr w:type="spellEnd"/>
      <w:r w:rsidRPr="00281D54">
        <w:rPr>
          <w:spacing w:val="2"/>
          <w:sz w:val="20"/>
          <w:szCs w:val="30"/>
        </w:rPr>
        <w:t xml:space="preserve">. ORGANIZAÇÃO CRIMINOSA EM FUNCIONAMENTO. PRECEDENTES. 1. O decreto de prisão preventiva deve demonstrar a materialidade do crime e dos indícios de autoria de conduta criminosa, além de indicar fatos concretos e contemporâneos que demonstrem o perigo que a liberdade do investigado ou réu represente para a ordem pública, para a ordem econômica, para a conveniência da instrução criminal ou para a garantia da aplicação da lei penal, conforme o art. 312 do Código de Processo Penal. 2. Quanto ao fumus </w:t>
      </w:r>
      <w:proofErr w:type="spellStart"/>
      <w:r w:rsidRPr="00281D54">
        <w:rPr>
          <w:spacing w:val="2"/>
          <w:sz w:val="20"/>
          <w:szCs w:val="30"/>
        </w:rPr>
        <w:t>comissi</w:t>
      </w:r>
      <w:proofErr w:type="spellEnd"/>
      <w:r w:rsidRPr="00281D54">
        <w:rPr>
          <w:spacing w:val="2"/>
          <w:sz w:val="20"/>
          <w:szCs w:val="30"/>
        </w:rPr>
        <w:t xml:space="preserve"> delicti, indicou-se como indício de autoria menções ao ora recorrente como liderança responsável pela disciplina da organização no bairro de </w:t>
      </w:r>
      <w:proofErr w:type="spellStart"/>
      <w:r w:rsidRPr="00281D54">
        <w:rPr>
          <w:spacing w:val="2"/>
          <w:sz w:val="20"/>
          <w:szCs w:val="30"/>
        </w:rPr>
        <w:t>Aririu</w:t>
      </w:r>
      <w:proofErr w:type="spellEnd"/>
      <w:r w:rsidRPr="00281D54">
        <w:rPr>
          <w:spacing w:val="2"/>
          <w:sz w:val="20"/>
          <w:szCs w:val="30"/>
        </w:rPr>
        <w:t xml:space="preserve">, em Palhoça. Em cumprimento ao mandado de busca e apreensão, também foram encontrados recibos do pagamento de dízimos. 3. Em relação à alegação de falta de contemporaneidade, e consequentemente do periculum </w:t>
      </w:r>
      <w:proofErr w:type="spellStart"/>
      <w:r w:rsidRPr="00281D54">
        <w:rPr>
          <w:spacing w:val="2"/>
          <w:sz w:val="20"/>
          <w:szCs w:val="30"/>
        </w:rPr>
        <w:t>libertatis</w:t>
      </w:r>
      <w:proofErr w:type="spellEnd"/>
      <w:r w:rsidRPr="00281D54">
        <w:rPr>
          <w:spacing w:val="2"/>
          <w:sz w:val="20"/>
          <w:szCs w:val="30"/>
        </w:rPr>
        <w:t>, exige-se que o decreto prisional esteja calcado em fundamentos novos, recentes, indicativos do risco que a liberdade do agente possa causar à ordem pública ou econômica, à instrução ou à aplicação da lei penal. 4. A reiterada jurisprudência do Superior Tribunal de Justiça afirma que a necessidade de manutenção do cárcere constitui importante instrumento de que dispõe o Estado para desarticular organizações criminosas</w:t>
      </w:r>
      <w:r w:rsidRPr="00C0377B">
        <w:rPr>
          <w:b/>
          <w:spacing w:val="2"/>
          <w:sz w:val="20"/>
          <w:szCs w:val="30"/>
        </w:rPr>
        <w:t>. A necessidade de se interromper ou diminuir a atuação de integrantes de organização criminosa enquadra-se no conceito de garantia da ordem pública, constituindo fundamentação cautelar idônea e suficiente para a prisão preventiva</w:t>
      </w:r>
      <w:r w:rsidRPr="00281D54">
        <w:rPr>
          <w:spacing w:val="2"/>
          <w:sz w:val="20"/>
          <w:szCs w:val="30"/>
        </w:rPr>
        <w:t xml:space="preserve"> (HC n. 371.769/BA, Ministro Reynaldo Soares da Fonseca, Quinta Turma, </w:t>
      </w:r>
      <w:proofErr w:type="spellStart"/>
      <w:r w:rsidRPr="00281D54">
        <w:rPr>
          <w:spacing w:val="2"/>
          <w:sz w:val="20"/>
          <w:szCs w:val="30"/>
        </w:rPr>
        <w:t>DJe</w:t>
      </w:r>
      <w:proofErr w:type="spellEnd"/>
      <w:r w:rsidRPr="00281D54">
        <w:rPr>
          <w:spacing w:val="2"/>
          <w:sz w:val="20"/>
          <w:szCs w:val="30"/>
        </w:rPr>
        <w:t xml:space="preserve"> 15/5/2017). 5. Recurso em habeas corpus improvido.</w:t>
      </w:r>
      <w:r>
        <w:rPr>
          <w:spacing w:val="2"/>
          <w:sz w:val="20"/>
          <w:szCs w:val="30"/>
        </w:rPr>
        <w:t xml:space="preserve"> </w:t>
      </w:r>
      <w:r w:rsidRPr="00281D54">
        <w:rPr>
          <w:spacing w:val="2"/>
          <w:sz w:val="20"/>
          <w:szCs w:val="30"/>
        </w:rPr>
        <w:t xml:space="preserve">(STJ - </w:t>
      </w:r>
      <w:proofErr w:type="spellStart"/>
      <w:r w:rsidRPr="00281D54">
        <w:rPr>
          <w:spacing w:val="2"/>
          <w:sz w:val="20"/>
          <w:szCs w:val="30"/>
        </w:rPr>
        <w:t>RHC</w:t>
      </w:r>
      <w:proofErr w:type="spellEnd"/>
      <w:r w:rsidRPr="00281D54">
        <w:rPr>
          <w:spacing w:val="2"/>
          <w:sz w:val="20"/>
          <w:szCs w:val="30"/>
        </w:rPr>
        <w:t xml:space="preserve">: 153477 SC 2021/0287474-0, Relator: Ministro SEBASTIÃO REIS JÚNIOR, Data de Julgamento: 19/10/2021, </w:t>
      </w:r>
      <w:proofErr w:type="spellStart"/>
      <w:r w:rsidRPr="00281D54">
        <w:rPr>
          <w:spacing w:val="2"/>
          <w:sz w:val="20"/>
          <w:szCs w:val="30"/>
        </w:rPr>
        <w:t>T6</w:t>
      </w:r>
      <w:proofErr w:type="spellEnd"/>
      <w:r w:rsidRPr="00281D54">
        <w:rPr>
          <w:spacing w:val="2"/>
          <w:sz w:val="20"/>
          <w:szCs w:val="30"/>
        </w:rPr>
        <w:t xml:space="preserve"> - SEXTA TURMA, Data de Publicação: </w:t>
      </w:r>
      <w:proofErr w:type="spellStart"/>
      <w:r w:rsidRPr="00281D54">
        <w:rPr>
          <w:spacing w:val="2"/>
          <w:sz w:val="20"/>
          <w:szCs w:val="30"/>
        </w:rPr>
        <w:t>DJe</w:t>
      </w:r>
      <w:proofErr w:type="spellEnd"/>
      <w:r w:rsidRPr="00281D54">
        <w:rPr>
          <w:spacing w:val="2"/>
          <w:sz w:val="20"/>
          <w:szCs w:val="30"/>
        </w:rPr>
        <w:t xml:space="preserve"> 22/10/2021)</w:t>
      </w:r>
      <w:r>
        <w:rPr>
          <w:spacing w:val="2"/>
          <w:sz w:val="20"/>
          <w:szCs w:val="30"/>
        </w:rPr>
        <w:t>.</w:t>
      </w:r>
    </w:p>
    <w:p w:rsidR="00121F8A" w:rsidRDefault="00121F8A" w:rsidP="00121F8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Conquanto insuficientes para, neste momento da persecução, justificar a decretação da prisão, os elementos de informação autorizam a</w:t>
      </w:r>
      <w:r w:rsidR="00687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de medidas cautelares alternativas, dada a gravidade concretada das condutas apuradas no bojo da ação penal.</w:t>
      </w:r>
    </w:p>
    <w:p w:rsidR="00E44797" w:rsidRDefault="00121F8A" w:rsidP="00121F8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</w:t>
      </w:r>
      <w:r w:rsidR="00687BDB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mantendo-se como parâmetro decisório a proporcionalidade,</w:t>
      </w:r>
      <w:r w:rsidR="00687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medidas de comparecimento espontâneo, proibição evasão do distrito da culpa sem autorização judicial, recolhimento domiciliar noturno e nos finais de semana e monitoração eletrônica se mostram adequadas à densidade infirmativa dos indicativos de autori</w:t>
      </w:r>
      <w:r w:rsidR="00687BDB">
        <w:rPr>
          <w:rFonts w:ascii="Times New Roman" w:eastAsia="Times New Roman" w:hAnsi="Times New Roman" w:cs="Times New Roman"/>
          <w:sz w:val="24"/>
          <w:szCs w:val="24"/>
          <w:lang w:eastAsia="pt-BR"/>
        </w:rPr>
        <w:t>a, em cotejo com a necessidade de acautelamento da ordem pública, evidenciada pela gravidade concreta das condutas atribuídas ao paciente.</w:t>
      </w:r>
    </w:p>
    <w:p w:rsidR="00121F8A" w:rsidRPr="00121F8A" w:rsidRDefault="00121F8A" w:rsidP="00121F8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arremate, consigna-se que as premissas ora adotadas são concebidas em caráter </w:t>
      </w:r>
      <w:r w:rsidRPr="00121F8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rebus sic stantibus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restringido a possiblidade de revisão do entendimento sufragado pelo juízo de primeiro grau caso sobrevenham outros elementos indicativos de autoria. 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Pelas premissas alinhavadas, a conclusão a ser adotada consiste no conhecimento e parcial con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cessão </w:t>
      </w:r>
      <w:r w:rsidR="00121F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parcial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ordem para substituir a prisão preventiva pelas medidas cautelares alternativas de: a) comparecimento periódico em juízo, em prazo e condições a serem fixadas pelo juízo de origem, para informar e justificar atividades; b) proibição de ausentar-s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da comarca de residência, sem autorização judicial, em período superior a três dias; c) recolhimento domiciliar noturno e nos finais de semana, exceto comprovada necessidade para fins laborais; d) monitoração eletrônica.</w:t>
      </w: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:rsidR="00E44797" w:rsidRDefault="00E4479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4797" w:rsidRDefault="00687BD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– DECISÃO</w:t>
      </w:r>
      <w:bookmarkEnd w:id="0"/>
    </w:p>
    <w:sectPr w:rsidR="00E4479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97"/>
    <w:rsid w:val="000C3A16"/>
    <w:rsid w:val="00121F8A"/>
    <w:rsid w:val="00300773"/>
    <w:rsid w:val="00687BDB"/>
    <w:rsid w:val="00A44DD6"/>
    <w:rsid w:val="00C0377B"/>
    <w:rsid w:val="00E44797"/>
    <w:rsid w:val="00E7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8C5A"/>
  <w15:docId w15:val="{E18DC2D3-6E18-4659-BEB9-97E18580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qFormat/>
    <w:rsid w:val="002A270B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47C71"/>
    <w:rPr>
      <w:sz w:val="20"/>
      <w:szCs w:val="20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47C7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647C71"/>
    <w:rPr>
      <w:color w:val="605E5C"/>
      <w:shd w:val="clear" w:color="auto" w:fill="E1DFDD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32DED"/>
    <w:rPr>
      <w:sz w:val="20"/>
      <w:szCs w:val="20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332DE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12E7C"/>
  </w:style>
  <w:style w:type="character" w:customStyle="1" w:styleId="RodapChar">
    <w:name w:val="Rodapé Char"/>
    <w:basedOn w:val="Fontepargpadro"/>
    <w:link w:val="Rodap"/>
    <w:uiPriority w:val="99"/>
    <w:qFormat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ejaVu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A5BF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BA387-569A-4478-A731-9E06C49DA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D6C22C-9D4E-4AB5-8568-E631CFCBAB1A}"/>
</file>

<file path=customXml/itemProps3.xml><?xml version="1.0" encoding="utf-8"?>
<ds:datastoreItem xmlns:ds="http://schemas.openxmlformats.org/officeDocument/2006/customXml" ds:itemID="{5391450B-9A0F-4C72-B103-C4A9C21DB95D}"/>
</file>

<file path=customXml/itemProps4.xml><?xml version="1.0" encoding="utf-8"?>
<ds:datastoreItem xmlns:ds="http://schemas.openxmlformats.org/officeDocument/2006/customXml" ds:itemID="{CBAF977A-6CD7-4700-9D10-FA95F0F7D4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1652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dc:description/>
  <cp:lastModifiedBy>Cleysson Willian Vilaca de Jesus</cp:lastModifiedBy>
  <cp:revision>14</cp:revision>
  <cp:lastPrinted>2023-02-01T16:46:00Z</cp:lastPrinted>
  <dcterms:created xsi:type="dcterms:W3CDTF">2023-06-15T19:39:00Z</dcterms:created>
  <dcterms:modified xsi:type="dcterms:W3CDTF">2024-02-08T17:42:00Z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327600</vt:r8>
  </property>
</Properties>
</file>