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57" w:rsidRDefault="001E17D3" w:rsidP="001E17D3">
      <w:pPr>
        <w:ind w:firstLine="0"/>
        <w:rPr>
          <w:b/>
        </w:rPr>
      </w:pPr>
      <w:r>
        <w:rPr>
          <w:b/>
        </w:rPr>
        <w:t>PENAL. PROCESSUAL PENAL.</w:t>
      </w:r>
      <w:r w:rsidR="00B24E57">
        <w:rPr>
          <w:b/>
        </w:rPr>
        <w:t xml:space="preserve"> FURTO QUALIFICADO. ART. 155, § 1º, CP. HABEAS CORPUS CONCEDIDO DE OFÍCIO. ANOTAÇÃO CRIMINAL. ABSOLVIÇÃO IMPRÓPRIA. REINCIDÊNCIA AFASTADA. REGIME INICIAL ALTERADO. SUBSTITUIÇÃO DA PENA PRIVATIVA DE LIBERDADE POR RESTRITIVAS DE DIREITOS. RECURSO CONHECIDO E PREJUDICADO.</w:t>
      </w:r>
    </w:p>
    <w:p w:rsidR="00AA28DF" w:rsidRDefault="00B24E57" w:rsidP="001E17D3">
      <w:pPr>
        <w:ind w:firstLine="0"/>
        <w:rPr>
          <w:b/>
        </w:rPr>
      </w:pPr>
      <w:r>
        <w:rPr>
          <w:b/>
        </w:rPr>
        <w:t>1. A sentença de absolvição imprópria não tem o condão de gerar maus antecedentes ou reincidência, uma vez que, por reconhecer a ausência de imputabilidade, elemento essencial do conceito analítico de crime, não ostenta natureza condenatória. Inteligência do artigo 63, do Código Penal.</w:t>
      </w:r>
    </w:p>
    <w:p w:rsidR="00D65BCF" w:rsidRDefault="00B24E57" w:rsidP="00D65BCF">
      <w:pPr>
        <w:ind w:firstLine="0"/>
        <w:rPr>
          <w:b/>
        </w:rPr>
      </w:pPr>
      <w:r>
        <w:rPr>
          <w:b/>
        </w:rPr>
        <w:t xml:space="preserve">2. </w:t>
      </w:r>
      <w:r w:rsidR="00D65BCF">
        <w:rPr>
          <w:b/>
        </w:rPr>
        <w:t xml:space="preserve">Imposta pena privativa de liberdade de 1 (um) ano de reclusão, sendo o réu primário e favoráveis as circunstâncias judiciais (CP, art. 59) e o réu primário, aplica-se o regime inicial aberto. Inteligência do artigo 33, §§ 2º, alínea ‘c’ e 3º, do Código Penal. </w:t>
      </w:r>
    </w:p>
    <w:p w:rsidR="00D65BCF" w:rsidRDefault="00B24E57" w:rsidP="00D65BCF">
      <w:pPr>
        <w:ind w:firstLine="0"/>
        <w:rPr>
          <w:b/>
        </w:rPr>
      </w:pPr>
      <w:r>
        <w:rPr>
          <w:b/>
        </w:rPr>
        <w:t>3</w:t>
      </w:r>
      <w:r w:rsidR="00D65BCF">
        <w:rPr>
          <w:b/>
        </w:rPr>
        <w:t>. Satisfeitos os requisitos subjetivos, as penas restritivas de direitos substituem as privativas de liberdade (CP, art. 44).</w:t>
      </w:r>
    </w:p>
    <w:p w:rsidR="001E17D3" w:rsidRDefault="00B24E57" w:rsidP="001E17D3">
      <w:pPr>
        <w:ind w:firstLine="0"/>
        <w:rPr>
          <w:b/>
        </w:rPr>
      </w:pPr>
      <w:r>
        <w:rPr>
          <w:b/>
        </w:rPr>
        <w:t xml:space="preserve">4. Habeas corpus concedido </w:t>
      </w:r>
      <w:proofErr w:type="spellStart"/>
      <w:r>
        <w:rPr>
          <w:b/>
          <w:i/>
        </w:rPr>
        <w:t>ex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officio</w:t>
      </w:r>
      <w:proofErr w:type="spellEnd"/>
      <w:r>
        <w:rPr>
          <w:b/>
          <w:i/>
        </w:rPr>
        <w:t xml:space="preserve">. </w:t>
      </w:r>
      <w:r>
        <w:rPr>
          <w:b/>
        </w:rPr>
        <w:t>Recurso conhecido e julgado prejudicado.</w:t>
      </w:r>
    </w:p>
    <w:p w:rsidR="001E17D3" w:rsidRPr="001E17D3" w:rsidRDefault="001E17D3" w:rsidP="001E17D3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ED116E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ED116E">
        <w:t xml:space="preserve">apelação interposta por </w:t>
      </w:r>
      <w:proofErr w:type="spellStart"/>
      <w:r w:rsidR="00ED116E">
        <w:t>Ueslei</w:t>
      </w:r>
      <w:proofErr w:type="spellEnd"/>
      <w:r w:rsidR="00ED116E">
        <w:t xml:space="preserve"> Lucas </w:t>
      </w:r>
      <w:proofErr w:type="spellStart"/>
      <w:r w:rsidR="00ED116E">
        <w:t>Koskoski</w:t>
      </w:r>
      <w:proofErr w:type="spellEnd"/>
      <w:r w:rsidR="00ED116E">
        <w:t xml:space="preserve"> da Silva, tendo como objeto sentença proferida pelo juízo da Vara Criminal de Wenceslau Braz, que julgou procedente pretensão punitiva estatal para condená-lo, pelo crime do artigo 155, § 1º, do Código Penal, às penas de 1 (um) anos e 4 (quatro) meses de reclusão e 13 (treze) dias-multa, em regime inicial semiaberto (evento 99.1 – autos de origem).</w:t>
      </w:r>
    </w:p>
    <w:p w:rsidR="00ED116E" w:rsidRDefault="00ED116E" w:rsidP="00AA28DF">
      <w:pPr>
        <w:pStyle w:val="PargrafodaLista"/>
        <w:ind w:left="0"/>
        <w:contextualSpacing w:val="0"/>
      </w:pPr>
      <w:r>
        <w:t>Eis, em síntese, as razões recursais: a) o regime semiaberto é demasiadamente gravoso, se considerado a quantidade de pena aplicada; b) se mantido o regime semiaberto, deve ser ele executado de forma harmonizada (evento 118.1 – autos de origem).</w:t>
      </w:r>
    </w:p>
    <w:p w:rsidR="00ED116E" w:rsidRDefault="00ED116E" w:rsidP="00AA28DF">
      <w:pPr>
        <w:pStyle w:val="PargrafodaLista"/>
        <w:ind w:left="0"/>
        <w:contextualSpacing w:val="0"/>
      </w:pPr>
      <w:r>
        <w:t>Nas contrarrazões, o Ministério Público argumentou que a reincidência do acusado determina aplicação de regime inicial mais gravoso (evento 121.1 – autos de origem).</w:t>
      </w:r>
    </w:p>
    <w:p w:rsidR="00ED116E" w:rsidRDefault="00ED116E" w:rsidP="00AA28DF">
      <w:pPr>
        <w:pStyle w:val="PargrafodaLista"/>
        <w:ind w:left="0"/>
        <w:contextualSpacing w:val="0"/>
      </w:pPr>
      <w:r>
        <w:t xml:space="preserve">Opinou a Procuradoria-Geral da República </w:t>
      </w:r>
      <w:r w:rsidR="00C3713B">
        <w:t>sustentou que a</w:t>
      </w:r>
      <w:r>
        <w:t xml:space="preserve"> anotação criminal utilizada para </w:t>
      </w:r>
      <w:r w:rsidR="00C3713B">
        <w:t>indicação de reincidência não é condenatória, mas absolutória imprópria. Por não servir à constatação de reincidência, deve ser corrigida, de ofício, a dosimetria da pena, revogando-se correlata agravante e alterado o regime inicial de cumprimento de pena, dando-se provimento ao recurso (evento 14.1).</w:t>
      </w:r>
    </w:p>
    <w:p w:rsidR="00C3713B" w:rsidRDefault="00C3713B" w:rsidP="00AA28DF">
      <w:pPr>
        <w:pStyle w:val="PargrafodaLista"/>
        <w:ind w:left="0"/>
        <w:contextualSpacing w:val="0"/>
      </w:pPr>
      <w:r>
        <w:t>É o necessário.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C3713B" w:rsidRDefault="00C3713B" w:rsidP="00877419">
      <w:pPr>
        <w:pStyle w:val="PargrafodaLista"/>
        <w:ind w:left="0"/>
        <w:contextualSpacing w:val="0"/>
      </w:pPr>
      <w:r>
        <w:lastRenderedPageBreak/>
        <w:t>Satisfeitos os pressupostos de admissibilidade recursal, conhece-se da apelação interposta.</w:t>
      </w:r>
    </w:p>
    <w:p w:rsidR="00C3713B" w:rsidRDefault="00C3713B" w:rsidP="00877419">
      <w:pPr>
        <w:pStyle w:val="PargrafodaLista"/>
        <w:ind w:left="0"/>
        <w:contextualSpacing w:val="0"/>
      </w:pPr>
    </w:p>
    <w:p w:rsidR="00C3713B" w:rsidRDefault="00C3713B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REINCIDÊNCIA</w:t>
      </w:r>
    </w:p>
    <w:p w:rsidR="00C3713B" w:rsidRDefault="000E1E9E" w:rsidP="00877419">
      <w:pPr>
        <w:pStyle w:val="PargrafodaLista"/>
        <w:ind w:left="0"/>
        <w:contextualSpacing w:val="0"/>
      </w:pPr>
      <w:r>
        <w:t>Cinge-se a controvérsia recursal à pretensão de reforma do julgado, sob argumento de desproporcionalidade do regime semiaberto à razão da quantidade de pena aplicada.</w:t>
      </w:r>
    </w:p>
    <w:p w:rsidR="000E1E9E" w:rsidRDefault="000E1E9E" w:rsidP="00877419">
      <w:pPr>
        <w:pStyle w:val="PargrafodaLista"/>
        <w:ind w:left="0"/>
        <w:contextualSpacing w:val="0"/>
      </w:pPr>
      <w:r>
        <w:t>Ainda que por motivo diverso, a pretensão recursal deve ser provida.</w:t>
      </w:r>
    </w:p>
    <w:p w:rsidR="000E1E9E" w:rsidRDefault="000E1E9E" w:rsidP="00877419">
      <w:pPr>
        <w:pStyle w:val="PargrafodaLista"/>
        <w:ind w:left="0"/>
        <w:contextualSpacing w:val="0"/>
      </w:pPr>
      <w:r>
        <w:t>Na sentença, foi considerada a condição de reincidente do apelante para agravação da pena intermediária e aplicação de regime inicial mais gravoso (evento 99.1 – autos de origem).</w:t>
      </w:r>
    </w:p>
    <w:p w:rsidR="000E1E9E" w:rsidRDefault="000E1E9E" w:rsidP="00877419">
      <w:pPr>
        <w:pStyle w:val="PargrafodaLista"/>
        <w:ind w:left="0"/>
        <w:contextualSpacing w:val="0"/>
      </w:pPr>
      <w:r>
        <w:t xml:space="preserve">Entretanto, a anotação criminal referenciada como caracterizadora de reincidência teve absolvição imprópria </w:t>
      </w:r>
      <w:r w:rsidR="00494944">
        <w:t xml:space="preserve">como desfecho </w:t>
      </w:r>
      <w:r>
        <w:t xml:space="preserve">(autos nº </w:t>
      </w:r>
      <w:r w:rsidRPr="000E1E9E">
        <w:t>0001623-40.2020.8.16.0176</w:t>
      </w:r>
      <w:r w:rsidR="00494944">
        <w:t>, evento 69.1).</w:t>
      </w:r>
    </w:p>
    <w:p w:rsidR="00494944" w:rsidRDefault="00494944" w:rsidP="00877419">
      <w:pPr>
        <w:pStyle w:val="PargrafodaLista"/>
        <w:ind w:left="0"/>
        <w:contextualSpacing w:val="0"/>
      </w:pPr>
      <w:r>
        <w:t>A rigor do disposto no artigo 63, do Código Penal, a reincidência verifica-se, tão somente, na hipótese de prática de novo crime após o trânsito em julgado de condenação por crime anterior. Assim, a decisão de absolvição imprópria, conquanto redunde em aplicação de medida de segurança, não se presta à configuração de reincidência criminal.</w:t>
      </w:r>
    </w:p>
    <w:p w:rsidR="00494944" w:rsidRDefault="00494944" w:rsidP="00494944">
      <w:pPr>
        <w:pStyle w:val="PargrafodaLista"/>
        <w:ind w:left="0"/>
        <w:contextualSpacing w:val="0"/>
      </w:pPr>
      <w:r>
        <w:t>Neste sentido:</w:t>
      </w:r>
    </w:p>
    <w:p w:rsidR="008D1CFB" w:rsidRDefault="00494944" w:rsidP="00494944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494944">
        <w:rPr>
          <w:sz w:val="20"/>
        </w:rPr>
        <w:t>AGRAVO REGIMENTAL EM HABEAS CORPUS. LESÃO CORPORAL DE NATUREZA</w:t>
      </w:r>
      <w:r>
        <w:rPr>
          <w:sz w:val="20"/>
        </w:rPr>
        <w:t xml:space="preserve"> </w:t>
      </w:r>
      <w:r w:rsidRPr="00494944">
        <w:rPr>
          <w:sz w:val="20"/>
        </w:rPr>
        <w:t>GRAVE. DOSIMETRIA. PENA-BASE. INQUÉRITO POLICIAL. SENTENÇA</w:t>
      </w:r>
      <w:r>
        <w:rPr>
          <w:sz w:val="20"/>
        </w:rPr>
        <w:t xml:space="preserve"> </w:t>
      </w:r>
      <w:r w:rsidRPr="00494944">
        <w:rPr>
          <w:sz w:val="20"/>
        </w:rPr>
        <w:t>ABSOLUTÓRIA IMPRÓPRIA. MAUS ANTECEDENTES. IMPOSSIBILIDADE. EXECUÇÃO.</w:t>
      </w:r>
      <w:r>
        <w:rPr>
          <w:sz w:val="20"/>
        </w:rPr>
        <w:t xml:space="preserve"> </w:t>
      </w:r>
      <w:r w:rsidRPr="00494944">
        <w:rPr>
          <w:sz w:val="20"/>
        </w:rPr>
        <w:t>MODO ABERTO. POSSIBILIDADE. PRIMARIEDADE. PENA INFERIOR A 4 ANOS DE</w:t>
      </w:r>
      <w:r>
        <w:rPr>
          <w:sz w:val="20"/>
        </w:rPr>
        <w:t xml:space="preserve"> </w:t>
      </w:r>
      <w:r w:rsidRPr="00494944">
        <w:rPr>
          <w:sz w:val="20"/>
        </w:rPr>
        <w:t>RECLUSÃO. FAVORABILIDADE DE TODAS AS CIRCUNSTÂNCIAS JUDICIAIS.</w:t>
      </w:r>
      <w:r>
        <w:rPr>
          <w:sz w:val="20"/>
        </w:rPr>
        <w:t xml:space="preserve"> </w:t>
      </w:r>
      <w:r w:rsidRPr="00494944">
        <w:rPr>
          <w:sz w:val="20"/>
        </w:rPr>
        <w:t>SUBSTITUIÇÃO DA PENA PRIVATIVA DE LIBERDADE POR RESTRITIVAS DE</w:t>
      </w:r>
      <w:r>
        <w:rPr>
          <w:sz w:val="20"/>
        </w:rPr>
        <w:t xml:space="preserve"> </w:t>
      </w:r>
      <w:r w:rsidRPr="00494944">
        <w:rPr>
          <w:sz w:val="20"/>
        </w:rPr>
        <w:t xml:space="preserve">DIREITOS. INOVAÇÃO RECURSAL. INVIABILIDADE. </w:t>
      </w:r>
      <w:r>
        <w:rPr>
          <w:sz w:val="20"/>
        </w:rPr>
        <w:t>[...]</w:t>
      </w:r>
      <w:r w:rsidRPr="00494944">
        <w:rPr>
          <w:sz w:val="20"/>
        </w:rPr>
        <w:t xml:space="preserve"> </w:t>
      </w:r>
      <w:r w:rsidRPr="008D1CFB">
        <w:rPr>
          <w:b/>
          <w:sz w:val="20"/>
        </w:rPr>
        <w:t xml:space="preserve">2. A sentença absolutória imprópria, ou seja, aquela que aplica </w:t>
      </w:r>
      <w:proofErr w:type="gramStart"/>
      <w:r w:rsidRPr="008D1CFB">
        <w:rPr>
          <w:b/>
          <w:sz w:val="20"/>
        </w:rPr>
        <w:t>ao</w:t>
      </w:r>
      <w:r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agente medida</w:t>
      </w:r>
      <w:proofErr w:type="gramEnd"/>
      <w:r w:rsidRPr="008D1CFB">
        <w:rPr>
          <w:b/>
          <w:sz w:val="20"/>
        </w:rPr>
        <w:t xml:space="preserve"> de segurança, não tem o condão de gerar maus</w:t>
      </w:r>
      <w:r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antecedentes, uma vez que, por faltar imputabilidade, um dos</w:t>
      </w:r>
      <w:r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elementos integrantes da culpabilidade, não há falar que houve a</w:t>
      </w:r>
      <w:r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prática de crime (concepção tripartida). Pela mesma razão, não pode</w:t>
      </w:r>
      <w:r w:rsidR="008D1CFB"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tal anotação ser sopesada para fins de reincidência.</w:t>
      </w:r>
      <w:r w:rsidRPr="00494944">
        <w:rPr>
          <w:sz w:val="20"/>
        </w:rPr>
        <w:t xml:space="preserve"> </w:t>
      </w:r>
      <w:r w:rsidRPr="008D1CFB">
        <w:rPr>
          <w:b/>
          <w:sz w:val="20"/>
        </w:rPr>
        <w:t>3. Como consequência do próprio redimensionamento da pena, deve ser</w:t>
      </w:r>
      <w:r w:rsidR="008D1CFB"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realizado o ajuste no modo de cumprimento da reprimenda aplicada ao</w:t>
      </w:r>
      <w:r w:rsidR="008D1CFB"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agravante, devendo ser-lhe fixado o regime aberto, já que é</w:t>
      </w:r>
      <w:r w:rsidR="008D1CFB"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>primário, restou condenado à pena inferior a 4 anos de reclusão e</w:t>
      </w:r>
      <w:r w:rsidR="008D1CFB" w:rsidRPr="008D1CFB">
        <w:rPr>
          <w:b/>
          <w:sz w:val="20"/>
        </w:rPr>
        <w:t xml:space="preserve"> </w:t>
      </w:r>
      <w:r w:rsidRPr="008D1CFB">
        <w:rPr>
          <w:b/>
          <w:sz w:val="20"/>
        </w:rPr>
        <w:t xml:space="preserve">todas as circunstâncias judiciais lhe foram tidas como favoráveis. </w:t>
      </w:r>
      <w:r w:rsidR="008D1CFB">
        <w:rPr>
          <w:sz w:val="20"/>
        </w:rPr>
        <w:t xml:space="preserve">[...] </w:t>
      </w:r>
      <w:r w:rsidRPr="00494944">
        <w:rPr>
          <w:sz w:val="20"/>
        </w:rPr>
        <w:t>(STJ</w:t>
      </w:r>
      <w:r w:rsidR="008D1CFB">
        <w:rPr>
          <w:sz w:val="20"/>
        </w:rPr>
        <w:t xml:space="preserve">. Sexta Turma. Relator: Ministro Sebastião Reis Júnior. </w:t>
      </w:r>
      <w:proofErr w:type="spellStart"/>
      <w:r w:rsidRPr="00494944">
        <w:rPr>
          <w:sz w:val="20"/>
        </w:rPr>
        <w:t>AgRg</w:t>
      </w:r>
      <w:proofErr w:type="spellEnd"/>
      <w:r w:rsidRPr="00494944">
        <w:rPr>
          <w:sz w:val="20"/>
        </w:rPr>
        <w:t xml:space="preserve"> no HC: 182376 MS 2010/0150655-5</w:t>
      </w:r>
      <w:r w:rsidR="008D1CFB">
        <w:rPr>
          <w:sz w:val="20"/>
        </w:rPr>
        <w:t>. Data de Julgamento: 25/09/2012. Data de Publicação: 08/10/2012).</w:t>
      </w:r>
    </w:p>
    <w:p w:rsidR="000E1E9E" w:rsidRDefault="008D1CFB" w:rsidP="00877419">
      <w:pPr>
        <w:pStyle w:val="PargrafodaLista"/>
        <w:ind w:left="0"/>
        <w:contextualSpacing w:val="0"/>
      </w:pPr>
      <w:r>
        <w:t xml:space="preserve">Assim, impõe-se a concessão de </w:t>
      </w:r>
      <w:r>
        <w:rPr>
          <w:i/>
        </w:rPr>
        <w:t xml:space="preserve">habeas corpus </w:t>
      </w:r>
      <w:r>
        <w:t>de ofício, consoante manifestado pela Procuradoria-Geral de Justiça, afastando-se a configuração da reincidência para reconhecer a condição de tecnicamente primário do apelante.</w:t>
      </w:r>
    </w:p>
    <w:p w:rsidR="00D65BCF" w:rsidRDefault="008D1CFB" w:rsidP="00D65BCF">
      <w:pPr>
        <w:pStyle w:val="PargrafodaLista"/>
        <w:ind w:left="0"/>
        <w:contextualSpacing w:val="0"/>
      </w:pPr>
      <w:r>
        <w:t xml:space="preserve">Como consequência, afasta-se a agravante da reincidência na segunda fase da dosimetria. A pena intermediária, contudo, permanece inalterada, pois a atenuante da confissão espontânea, segundo verbete da </w:t>
      </w:r>
      <w:r w:rsidR="00D65BCF">
        <w:t>Súmula 231 do Superior Tribunal de Justiça, não pode conduzir a pena abaixo do mínimo legal.</w:t>
      </w:r>
    </w:p>
    <w:p w:rsidR="00D65BCF" w:rsidRDefault="00D65BCF" w:rsidP="00D65BCF">
      <w:pPr>
        <w:pStyle w:val="PargrafodaLista"/>
        <w:ind w:left="0"/>
        <w:contextualSpacing w:val="0"/>
      </w:pPr>
      <w:r>
        <w:t>Resulta, pois, a pena definitiva em 1 (um) ano e 4 (quatro) meses de reclusão e 13 (treze) dias-multa.</w:t>
      </w:r>
    </w:p>
    <w:p w:rsidR="00D65BCF" w:rsidRDefault="00D65BCF" w:rsidP="00D65BCF">
      <w:pPr>
        <w:pStyle w:val="PargrafodaLista"/>
        <w:ind w:left="0"/>
        <w:contextualSpacing w:val="0"/>
      </w:pPr>
      <w:r>
        <w:t>Na mesma senda, sendo a reprimenda inferior a quatro anos, fixa-se o regime aberto inicial para cumprimento de pena (CP, art. 33, § 2º, ‘c’).</w:t>
      </w:r>
    </w:p>
    <w:p w:rsidR="00D65BCF" w:rsidRDefault="00D65BCF" w:rsidP="00D65BCF">
      <w:pPr>
        <w:pStyle w:val="PargrafodaLista"/>
        <w:ind w:left="0"/>
        <w:contextualSpacing w:val="0"/>
      </w:pPr>
      <w:r>
        <w:t>Por fim,</w:t>
      </w:r>
      <w:r>
        <w:t xml:space="preserve"> assiste ao imputado direito à substituição da pena privativa de liberdade por restritivas de direitos, porquanto satisfeitos os requisitos inscritos no artigo 44, do Código Penal.</w:t>
      </w:r>
    </w:p>
    <w:p w:rsidR="00D65BCF" w:rsidRDefault="00D65BCF" w:rsidP="00D65BCF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Assim, c</w:t>
      </w:r>
      <w:r>
        <w:rPr>
          <w:rFonts w:eastAsia="Times New Roman" w:cs="Times New Roman"/>
          <w:bCs/>
          <w:szCs w:val="24"/>
          <w:lang w:eastAsia="pt-BR"/>
        </w:rPr>
        <w:t xml:space="preserve">om fulcro no art. 44, § 2º, do Código Penal, substitui-se a pena privativa de liberdade de 1 (um) ano </w:t>
      </w:r>
      <w:r>
        <w:rPr>
          <w:rFonts w:eastAsia="Times New Roman" w:cs="Times New Roman"/>
          <w:bCs/>
          <w:szCs w:val="24"/>
          <w:lang w:eastAsia="pt-BR"/>
        </w:rPr>
        <w:t xml:space="preserve">e 4 (quatro) meses de reclusão por duas penas restritivas de direitos consistentes em: a) prestação de serviços à comunidade, pelo mesmo prazo da pena aplicada (CP, art. 55), com carga horária semanal e local de prestação a serem definidos pelo juízo da execução </w:t>
      </w:r>
      <w:r>
        <w:rPr>
          <w:rFonts w:eastAsia="Times New Roman" w:cs="Times New Roman"/>
          <w:bCs/>
          <w:szCs w:val="24"/>
          <w:lang w:eastAsia="pt-BR"/>
        </w:rPr>
        <w:t>(CP, art. 46, §§ 2º e 3º)</w:t>
      </w:r>
      <w:r>
        <w:rPr>
          <w:rFonts w:eastAsia="Times New Roman" w:cs="Times New Roman"/>
          <w:bCs/>
          <w:szCs w:val="24"/>
          <w:lang w:eastAsia="pt-BR"/>
        </w:rPr>
        <w:t>; b) limitação de fim de semana, consistente em recolhimento domiciliar, a ser fiscalizada por monitoração eletrônica.</w:t>
      </w:r>
    </w:p>
    <w:p w:rsidR="001E17D3" w:rsidRDefault="001E17D3" w:rsidP="00877419">
      <w:pPr>
        <w:pStyle w:val="PargrafodaLista"/>
        <w:ind w:left="0"/>
        <w:contextualSpacing w:val="0"/>
      </w:pPr>
    </w:p>
    <w:p w:rsidR="00C3713B" w:rsidRDefault="00C3713B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DOS HONORÁRIOS DATIVOS</w:t>
      </w:r>
    </w:p>
    <w:p w:rsidR="001E17D3" w:rsidRDefault="001E17D3" w:rsidP="001E17D3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 xml:space="preserve">Considerando </w:t>
      </w:r>
      <w:r>
        <w:rPr>
          <w:rFonts w:eastAsia="Times New Roman" w:cs="Times New Roman"/>
          <w:szCs w:val="24"/>
          <w:lang w:eastAsia="pt-BR"/>
        </w:rPr>
        <w:t xml:space="preserve">o grau de zelo, o lugar de prestação do serviço, a natureza e importância da cause, o trabalho realizado e tempo exigido, arbitra-se em R$ </w:t>
      </w:r>
      <w:r>
        <w:rPr>
          <w:rFonts w:eastAsia="Times New Roman" w:cs="Times New Roman"/>
          <w:szCs w:val="24"/>
          <w:lang w:eastAsia="pt-BR"/>
        </w:rPr>
        <w:t>6</w:t>
      </w:r>
      <w:r>
        <w:rPr>
          <w:rFonts w:eastAsia="Times New Roman" w:cs="Times New Roman"/>
          <w:szCs w:val="24"/>
          <w:lang w:eastAsia="pt-BR"/>
        </w:rPr>
        <w:t>00,00 (</w:t>
      </w:r>
      <w:r>
        <w:rPr>
          <w:rFonts w:eastAsia="Times New Roman" w:cs="Times New Roman"/>
          <w:szCs w:val="24"/>
          <w:lang w:eastAsia="pt-BR"/>
        </w:rPr>
        <w:t xml:space="preserve">seiscentos reais) os honorários dativos em favor do advogado Julian </w:t>
      </w:r>
      <w:proofErr w:type="spellStart"/>
      <w:r>
        <w:rPr>
          <w:rFonts w:eastAsia="Times New Roman" w:cs="Times New Roman"/>
          <w:szCs w:val="24"/>
          <w:lang w:eastAsia="pt-BR"/>
        </w:rPr>
        <w:t>Dercil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Souza Santos, em razão da atuação nesta instância recursal.</w:t>
      </w:r>
    </w:p>
    <w:p w:rsidR="001E17D3" w:rsidRDefault="001E17D3" w:rsidP="00877419">
      <w:pPr>
        <w:pStyle w:val="PargrafodaLista"/>
        <w:ind w:left="0"/>
        <w:contextualSpacing w:val="0"/>
      </w:pPr>
    </w:p>
    <w:p w:rsidR="00C3713B" w:rsidRDefault="00C3713B" w:rsidP="00877419">
      <w:pPr>
        <w:pStyle w:val="PargrafodaLista"/>
        <w:ind w:left="0"/>
        <w:contextualSpacing w:val="0"/>
      </w:pPr>
      <w:proofErr w:type="spellStart"/>
      <w:r>
        <w:lastRenderedPageBreak/>
        <w:t>II.IV</w:t>
      </w:r>
      <w:proofErr w:type="spellEnd"/>
      <w:r>
        <w:t xml:space="preserve"> – DA CONCLUSÃO</w:t>
      </w:r>
    </w:p>
    <w:p w:rsidR="00B24E57" w:rsidRPr="00B24E57" w:rsidRDefault="00AA28DF" w:rsidP="00877419">
      <w:pPr>
        <w:pStyle w:val="PargrafodaLista"/>
        <w:ind w:left="0"/>
        <w:contextualSpacing w:val="0"/>
      </w:pPr>
      <w:r>
        <w:t xml:space="preserve">Pela conjugação das premissas deduzidas, a conclusão a ser adota consiste </w:t>
      </w:r>
      <w:r w:rsidR="00B24E57">
        <w:t xml:space="preserve">em: a) conceder </w:t>
      </w:r>
      <w:r w:rsidR="00B24E57">
        <w:rPr>
          <w:i/>
        </w:rPr>
        <w:t xml:space="preserve">habeas corpus </w:t>
      </w:r>
      <w:r w:rsidR="00B24E57">
        <w:t xml:space="preserve">de ofício para: </w:t>
      </w:r>
      <w:proofErr w:type="spellStart"/>
      <w:r w:rsidR="00B24E57">
        <w:t>a.a</w:t>
      </w:r>
      <w:proofErr w:type="spellEnd"/>
      <w:r w:rsidR="00B24E57">
        <w:t xml:space="preserve">) afastar a reincidência; </w:t>
      </w:r>
      <w:proofErr w:type="spellStart"/>
      <w:r w:rsidR="00B24E57">
        <w:t>a.b</w:t>
      </w:r>
      <w:proofErr w:type="spellEnd"/>
      <w:r w:rsidR="00B24E57">
        <w:t xml:space="preserve">) fixar o regime inicial aberto para cumprimento de pena; </w:t>
      </w:r>
      <w:proofErr w:type="spellStart"/>
      <w:r w:rsidR="00B24E57">
        <w:t>a.c</w:t>
      </w:r>
      <w:proofErr w:type="spellEnd"/>
      <w:r w:rsidR="00B24E57">
        <w:t>) substituir a pena privativa de liberdade por duas restritivas de direitos, consistentes em prestação de serviços à comunidade de limitação de fim de semana; b) conhecer e julgar prejudicado o recurso de apelação interposto.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C3713B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E1E9E"/>
    <w:rsid w:val="00165C47"/>
    <w:rsid w:val="001E17D3"/>
    <w:rsid w:val="00494944"/>
    <w:rsid w:val="00672942"/>
    <w:rsid w:val="00877419"/>
    <w:rsid w:val="008D1CFB"/>
    <w:rsid w:val="00AA28DF"/>
    <w:rsid w:val="00AE47D1"/>
    <w:rsid w:val="00B24E57"/>
    <w:rsid w:val="00C3713B"/>
    <w:rsid w:val="00D65BCF"/>
    <w:rsid w:val="00E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9DDF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6F87AD-CF63-4862-8DF2-1A4A4B03B5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387EB6-5485-457F-B88D-82D8C0B02F3A}"/>
</file>

<file path=customXml/itemProps3.xml><?xml version="1.0" encoding="utf-8"?>
<ds:datastoreItem xmlns:ds="http://schemas.openxmlformats.org/officeDocument/2006/customXml" ds:itemID="{14675965-4ADA-4C85-BC8A-D946FD5931C8}"/>
</file>

<file path=customXml/itemProps4.xml><?xml version="1.0" encoding="utf-8"?>
<ds:datastoreItem xmlns:ds="http://schemas.openxmlformats.org/officeDocument/2006/customXml" ds:itemID="{1B8D4825-889C-45AD-BBF9-6196B343BF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2024-04-15T21:27:00Z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327800</vt:r8>
  </property>
</Properties>
</file>