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A9236" w14:textId="0B13797B" w:rsidR="00656A2A" w:rsidRDefault="00656A2A" w:rsidP="00620786">
      <w:pPr>
        <w:spacing w:before="240" w:after="240" w:line="360" w:lineRule="auto"/>
        <w:jc w:val="both"/>
        <w:rPr>
          <w:rFonts w:ascii="Times New Roman" w:eastAsia="Times New Roman" w:hAnsi="Times New Roman" w:cs="Times New Roman"/>
          <w:b/>
          <w:sz w:val="24"/>
          <w:szCs w:val="24"/>
          <w:lang w:eastAsia="pt-BR"/>
        </w:rPr>
      </w:pPr>
      <w:r w:rsidRPr="00656A2A">
        <w:rPr>
          <w:rFonts w:ascii="Times New Roman" w:eastAsia="Times New Roman" w:hAnsi="Times New Roman" w:cs="Times New Roman"/>
          <w:b/>
          <w:sz w:val="24"/>
          <w:szCs w:val="24"/>
          <w:lang w:eastAsia="pt-BR"/>
        </w:rPr>
        <w:t>PENAL</w:t>
      </w:r>
      <w:r>
        <w:rPr>
          <w:rFonts w:ascii="Times New Roman" w:eastAsia="Times New Roman" w:hAnsi="Times New Roman" w:cs="Times New Roman"/>
          <w:b/>
          <w:sz w:val="24"/>
          <w:szCs w:val="24"/>
          <w:lang w:eastAsia="pt-BR"/>
        </w:rPr>
        <w:t xml:space="preserve">. PROCESSUAL PENAL. EMBARGOS DE DECLARAÇÃO. </w:t>
      </w:r>
      <w:r w:rsidR="00D85DAE">
        <w:rPr>
          <w:rFonts w:ascii="Times New Roman" w:eastAsia="Times New Roman" w:hAnsi="Times New Roman" w:cs="Times New Roman"/>
          <w:b/>
          <w:sz w:val="24"/>
          <w:szCs w:val="24"/>
          <w:lang w:eastAsia="pt-BR"/>
        </w:rPr>
        <w:t>PRETENSÃO DE REDUÇÃO DA PENA-BASE. FIXAÇÃO NO MÍNIMO LEGAL. AUSÊNCIA DE INTERESSE RECURSAL. VIOLAÇÃO DE DOMICÍLIO. APLICAÇÃO DA MINORANTE DO ARTIGO 33, §4º DA LEI 11.343 DE 2006. PRETENSÃO EXPRESSA DE PREQUESTIONAMENTO. INEXISTÊNCIA DE OMISSÃO, CONTRADIÇÃO OU OBSCURIDADE. RECURSO PARCIALMENTE CONHECIDO E REJEITADO.</w:t>
      </w:r>
    </w:p>
    <w:p w14:paraId="05281969" w14:textId="7E14E81B" w:rsidR="00D85DAE" w:rsidRDefault="00D85DAE"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Carece de interesse recursal a pretensão de diminuição da pena-base quando ausente valoração negativa das circunstâncias judiciais.</w:t>
      </w:r>
    </w:p>
    <w:p w14:paraId="03195690" w14:textId="3EC1978F" w:rsidR="00D85DAE" w:rsidRDefault="00D85DAE"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Os embargos de declaração servem para esclarecer obscuridade, eliminar contradição, suprir omissão ou corrigir erro material, de modo que o manejo para finalidade exclusiva de prequestionamento não enseja hipótese de acolhimento.</w:t>
      </w:r>
    </w:p>
    <w:p w14:paraId="23E0233D" w14:textId="2DDBE47C" w:rsidR="00D85DAE" w:rsidRPr="00656A2A" w:rsidRDefault="00D85DAE"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 Recurso parcialmente conhecido e rejeitado.</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6B633A84" w14:textId="0B90FC66" w:rsidR="00A44DDF"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w:t>
      </w:r>
      <w:r w:rsidR="00A44DDF">
        <w:rPr>
          <w:rFonts w:ascii="Times New Roman" w:eastAsia="Times New Roman" w:hAnsi="Times New Roman" w:cs="Times New Roman"/>
          <w:sz w:val="24"/>
          <w:szCs w:val="24"/>
          <w:lang w:eastAsia="pt-BR"/>
        </w:rPr>
        <w:t>Lucas Henrique Falcão em face do Ministério Público do Estado do Paraná, tendo como objeto acórdão proferido pela 5ª Câmara Criminal do Tribunal de Justiça do Estado do Paraná em recurso de apelação criminal (evento 40.1 – Ap).</w:t>
      </w:r>
    </w:p>
    <w:p w14:paraId="02B68CA8" w14:textId="202E3AFA" w:rsidR="00C92849" w:rsidRDefault="00A44DDF"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Nas razões de inconformismo, a parte aduziu pretensão exclusiva de prequestionamento sobre as matérias relativas às teses defensivas de violação de domicíli</w:t>
      </w:r>
      <w:r w:rsidR="00656A2A">
        <w:rPr>
          <w:rFonts w:ascii="Times New Roman" w:eastAsia="Times New Roman" w:hAnsi="Times New Roman" w:cs="Times New Roman"/>
          <w:sz w:val="24"/>
          <w:szCs w:val="24"/>
          <w:lang w:eastAsia="pt-BR"/>
        </w:rPr>
        <w:t xml:space="preserve">o, derrogação de circunstância que elevou a pena-base </w:t>
      </w:r>
      <w:r>
        <w:rPr>
          <w:rFonts w:ascii="Times New Roman" w:eastAsia="Times New Roman" w:hAnsi="Times New Roman" w:cs="Times New Roman"/>
          <w:sz w:val="24"/>
          <w:szCs w:val="24"/>
          <w:lang w:eastAsia="pt-BR"/>
        </w:rPr>
        <w:t>e aplicabilidade da minorante prevista no artigo 33, § 4º, do Código Penal (evento 1.1).</w:t>
      </w:r>
    </w:p>
    <w:p w14:paraId="1BE08262" w14:textId="122199A9" w:rsidR="00A44DDF" w:rsidRDefault="00A44DDF"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parcial conhecimento e, no mérito, pela rejeição do recurso (evento 10.1).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31D286FC" w14:textId="13D4FDAC" w:rsidR="00656A2A" w:rsidRDefault="00656A2A"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Quanto à pretensão de derrogação de aumento na pena-base, pela circunstância de o crime ter sido praticado na presença de criança, inexiste interesse recursal.</w:t>
      </w:r>
    </w:p>
    <w:p w14:paraId="6D147E15" w14:textId="1FDE75EA" w:rsidR="00656A2A" w:rsidRDefault="00656A2A"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Nenhuma circunstância judicial negativa foi considerada por ocasião da dosimetria da pena (evento 252.1 – autos de origem).</w:t>
      </w:r>
    </w:p>
    <w:p w14:paraId="6F15D470" w14:textId="77777777" w:rsidR="00D85DAE" w:rsidRDefault="00D85DA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Nas demais pretensões, o recurso comporta conhecimento, porquanto satisfeitos os correlatos pressupostos de admissibilidade.</w:t>
      </w:r>
    </w:p>
    <w:p w14:paraId="696CC87A" w14:textId="2A3FC375"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5C76C865" w14:textId="08AF32B8"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w:t>
      </w:r>
      <w:r w:rsidR="00A44DDF">
        <w:rPr>
          <w:rFonts w:ascii="Times New Roman" w:eastAsia="Times New Roman" w:hAnsi="Times New Roman" w:cs="Times New Roman"/>
          <w:sz w:val="24"/>
          <w:szCs w:val="24"/>
          <w:lang w:eastAsia="pt-BR"/>
        </w:rPr>
        <w:t>DO MÉRITO</w:t>
      </w:r>
    </w:p>
    <w:p w14:paraId="5B8BC4CF" w14:textId="44396D79" w:rsidR="00ED3EC0"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 pretensão declaratória constitui evidente inconformismo com as soluções jurídicas adotadas.</w:t>
      </w:r>
    </w:p>
    <w:p w14:paraId="32679686" w14:textId="160FCC6D" w:rsidR="001F4679"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 efeito, todas as teses jurídicas veiculadas no recurso originário foram objeto de percuciente análise e a decisão, exposta mediante fundamentação plena. A simples leitura dos fundamentos do pronunciamento embargado, logicamente organizado pelos tópicos inscritos em seu relatório, </w:t>
      </w:r>
      <w:r w:rsidR="001F4679">
        <w:rPr>
          <w:rFonts w:ascii="Times New Roman" w:eastAsia="Times New Roman" w:hAnsi="Times New Roman" w:cs="Times New Roman"/>
          <w:sz w:val="24"/>
          <w:szCs w:val="24"/>
          <w:lang w:eastAsia="pt-BR"/>
        </w:rPr>
        <w:t>viabiliza tal inferência.</w:t>
      </w:r>
    </w:p>
    <w:p w14:paraId="09EBBF41" w14:textId="592970D1" w:rsidR="00A44DDF" w:rsidRDefault="00A44DDF" w:rsidP="00A44DD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Inexiste, outrossim</w:t>
      </w:r>
      <w:r>
        <w:rPr>
          <w:rFonts w:ascii="Times New Roman" w:eastAsia="Times New Roman" w:hAnsi="Times New Roman" w:cs="Times New Roman"/>
          <w:sz w:val="24"/>
          <w:szCs w:val="24"/>
          <w:lang w:eastAsia="pt-BR"/>
        </w:rPr>
        <w:t xml:space="preserve">, contradição </w:t>
      </w:r>
      <w:r>
        <w:rPr>
          <w:rFonts w:ascii="Times New Roman" w:eastAsia="Times New Roman" w:hAnsi="Times New Roman" w:cs="Times New Roman"/>
          <w:sz w:val="24"/>
          <w:szCs w:val="24"/>
          <w:lang w:eastAsia="pt-BR"/>
        </w:rPr>
        <w:t xml:space="preserve">matizada </w:t>
      </w:r>
      <w:r>
        <w:rPr>
          <w:rFonts w:ascii="Times New Roman" w:eastAsia="Times New Roman" w:hAnsi="Times New Roman" w:cs="Times New Roman"/>
          <w:sz w:val="24"/>
          <w:szCs w:val="24"/>
          <w:lang w:eastAsia="pt-BR"/>
        </w:rPr>
        <w:t>em conflito lógico interno, decorrente de incompatibilidade entre premissas ou premissa e conclusão.</w:t>
      </w:r>
    </w:p>
    <w:p w14:paraId="2CF3CBF5" w14:textId="360D454E" w:rsidR="00A44DDF" w:rsidRDefault="00A44DDF" w:rsidP="00A44DD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Também não se verifica obscuridade, enquanto </w:t>
      </w:r>
      <w:r>
        <w:rPr>
          <w:rFonts w:ascii="Times New Roman" w:eastAsia="Times New Roman" w:hAnsi="Times New Roman" w:cs="Times New Roman"/>
          <w:sz w:val="24"/>
          <w:szCs w:val="24"/>
          <w:lang w:eastAsia="pt-BR"/>
        </w:rPr>
        <w:t>vício de construção lógico-argumentativa decorrente da concepção de conclusão sem premissa compatível.</w:t>
      </w:r>
    </w:p>
    <w:p w14:paraId="13310665" w14:textId="34CFF890" w:rsidR="00A44DDF" w:rsidRDefault="00A44DDF" w:rsidP="00A44DD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Entrementes, a mera pretensão de prequestionamento não justifica acolhimento dos embargos declaratório, quando ausente configuração de qualquer das máculas previstas no artigo 619 do Código de Processo Penal.</w:t>
      </w:r>
    </w:p>
    <w:p w14:paraId="4EE71E3E" w14:textId="4442E7B6" w:rsidR="00A44DDF" w:rsidRDefault="00A44DDF" w:rsidP="00A44DD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o tema:</w:t>
      </w:r>
    </w:p>
    <w:p w14:paraId="55C01A8A" w14:textId="77777777" w:rsidR="00A44DDF" w:rsidRDefault="00A44DDF" w:rsidP="00A44DDF">
      <w:pPr>
        <w:spacing w:before="240" w:after="240" w:line="360" w:lineRule="auto"/>
        <w:ind w:firstLine="709"/>
        <w:jc w:val="both"/>
        <w:rPr>
          <w:rFonts w:ascii="Times New Roman" w:eastAsia="Times New Roman" w:hAnsi="Times New Roman" w:cs="Times New Roman"/>
          <w:sz w:val="24"/>
          <w:szCs w:val="24"/>
          <w:lang w:eastAsia="pt-BR"/>
        </w:rPr>
      </w:pPr>
    </w:p>
    <w:p w14:paraId="0F3DF44B" w14:textId="563A07F2" w:rsidR="00A44DDF" w:rsidRDefault="00A44DDF" w:rsidP="00A44DDF">
      <w:pPr>
        <w:spacing w:before="600" w:after="600" w:line="360" w:lineRule="auto"/>
        <w:ind w:left="2268"/>
        <w:jc w:val="both"/>
        <w:rPr>
          <w:rFonts w:ascii="Times New Roman" w:eastAsia="Times New Roman" w:hAnsi="Times New Roman" w:cs="Times New Roman"/>
          <w:sz w:val="20"/>
          <w:szCs w:val="20"/>
          <w:lang w:eastAsia="pt-BR"/>
        </w:rPr>
      </w:pPr>
      <w:r w:rsidRPr="00A44DDF">
        <w:rPr>
          <w:rFonts w:ascii="Times New Roman" w:eastAsia="Times New Roman" w:hAnsi="Times New Roman" w:cs="Times New Roman"/>
          <w:sz w:val="20"/>
          <w:szCs w:val="20"/>
          <w:lang w:eastAsia="pt-BR"/>
        </w:rPr>
        <w:t>PROCESSUAL PENAL. EMBARGOS DE DECLARAÇÃO EM EMBARGOS DE DECLARAÇÃO. CRIME FALIMENTAR. OMITIR INFORMAÇÕES NO PROCESSO DE FALÊNCIA, EM PREJUÍZO A CREDORES (LEI 11.101/2005, ART. 171). CONDENAÇÃO MANTIDA EM SEDE DE APELAÇÃO INTERPOSTA PELA DEFESA. REJEIÇÃO DOS EMBARGOS DE DECLARAÇÃO OPOSTOS PELA DEFESA. OPOSIÇÃO DE NOVOS EMBARGOS. PREQUESTIONAMENTO. INEXISTÊNCIA DE CONTRADIÇÃO, OMISSÃO OU OUTRO VÍCIO. DESNECESSIDADE. EMBARGOS REJEITADOS.</w:t>
      </w:r>
      <w:r w:rsidRPr="00A44DDF">
        <w:rPr>
          <w:rFonts w:ascii="Times New Roman" w:eastAsia="Times New Roman" w:hAnsi="Times New Roman" w:cs="Times New Roman"/>
          <w:sz w:val="20"/>
          <w:szCs w:val="20"/>
          <w:lang w:eastAsia="pt-BR"/>
        </w:rPr>
        <w:t xml:space="preserve"> </w:t>
      </w:r>
      <w:r w:rsidRPr="00A44DDF">
        <w:rPr>
          <w:rFonts w:ascii="Times New Roman" w:eastAsia="Times New Roman" w:hAnsi="Times New Roman" w:cs="Times New Roman"/>
          <w:sz w:val="20"/>
          <w:szCs w:val="20"/>
          <w:lang w:eastAsia="pt-BR"/>
        </w:rPr>
        <w:t>(TJPR</w:t>
      </w:r>
      <w:r w:rsidRPr="00A44DDF">
        <w:rPr>
          <w:rFonts w:ascii="Times New Roman" w:eastAsia="Times New Roman" w:hAnsi="Times New Roman" w:cs="Times New Roman"/>
          <w:sz w:val="20"/>
          <w:szCs w:val="20"/>
          <w:lang w:eastAsia="pt-BR"/>
        </w:rPr>
        <w:t xml:space="preserve">. 2ª Câmara Criminal. Relator: Desembargador Mario Helton Jorge. </w:t>
      </w:r>
      <w:r w:rsidRPr="00A44DDF">
        <w:rPr>
          <w:rFonts w:ascii="Times New Roman" w:eastAsia="Times New Roman" w:hAnsi="Times New Roman" w:cs="Times New Roman"/>
          <w:sz w:val="20"/>
          <w:szCs w:val="20"/>
          <w:lang w:eastAsia="pt-BR"/>
        </w:rPr>
        <w:t>0002052-55.2024.8.16.0050</w:t>
      </w:r>
      <w:r w:rsidRPr="00A44DDF">
        <w:rPr>
          <w:rFonts w:ascii="Times New Roman" w:eastAsia="Times New Roman" w:hAnsi="Times New Roman" w:cs="Times New Roman"/>
          <w:sz w:val="20"/>
          <w:szCs w:val="20"/>
          <w:lang w:eastAsia="pt-BR"/>
        </w:rPr>
        <w:t>. Bandeirantes. Data de Julgamento: 01-07-2024).</w:t>
      </w:r>
    </w:p>
    <w:p w14:paraId="66988FB3" w14:textId="576474D6" w:rsidR="002438A8" w:rsidRDefault="00A44DDF" w:rsidP="00A44DDF">
      <w:pPr>
        <w:spacing w:before="600" w:after="600" w:line="360" w:lineRule="auto"/>
        <w:ind w:left="2268"/>
        <w:jc w:val="both"/>
        <w:rPr>
          <w:rFonts w:ascii="Times New Roman" w:hAnsi="Times New Roman" w:cs="Times New Roman"/>
          <w:sz w:val="20"/>
        </w:rPr>
      </w:pPr>
      <w:r w:rsidRPr="00A44DDF">
        <w:rPr>
          <w:rFonts w:ascii="Times New Roman" w:eastAsia="Times New Roman" w:hAnsi="Times New Roman" w:cs="Times New Roman"/>
          <w:sz w:val="20"/>
          <w:szCs w:val="20"/>
          <w:lang w:eastAsia="pt-BR"/>
        </w:rPr>
        <w:t>EMBARGOS DE DECLARAÇÃO – ALEGAÇÃO DE OMISSÃO – INOCORRÊNCIA – PREQUESTIONAMENTO - PRONUNCIAMENTO JUDICIAL DEVIDAMENTE FUNDAMENTADO E SUFICIENTE AO DESLINDE DA DEMANDA – INCONFORMISMO DA PARTE – REDISCUSSÃO DE MATÉRIA - QUESTÕES EXPRESSAMENTE ENFRENTADAS – EMBARGOS REJEITADOS.</w:t>
      </w:r>
      <w:r>
        <w:rPr>
          <w:rFonts w:ascii="Times New Roman" w:eastAsia="Times New Roman" w:hAnsi="Times New Roman" w:cs="Times New Roman"/>
          <w:sz w:val="20"/>
          <w:szCs w:val="20"/>
          <w:lang w:eastAsia="pt-BR"/>
        </w:rPr>
        <w:t xml:space="preserve"> </w:t>
      </w:r>
      <w:r w:rsidRPr="00A44DDF">
        <w:rPr>
          <w:rFonts w:ascii="Times New Roman" w:eastAsia="Times New Roman" w:hAnsi="Times New Roman" w:cs="Times New Roman"/>
          <w:sz w:val="20"/>
          <w:szCs w:val="20"/>
          <w:lang w:eastAsia="pt-BR"/>
        </w:rPr>
        <w:t>(TJPR</w:t>
      </w:r>
      <w:r>
        <w:rPr>
          <w:rFonts w:ascii="Times New Roman" w:eastAsia="Times New Roman" w:hAnsi="Times New Roman" w:cs="Times New Roman"/>
          <w:sz w:val="20"/>
          <w:szCs w:val="20"/>
          <w:lang w:eastAsia="pt-BR"/>
        </w:rPr>
        <w:t xml:space="preserve">. 4ª Câmara Criminal. Relator: Desembargador Carvilio da Silveira Filho. </w:t>
      </w:r>
      <w:r w:rsidRPr="00A44DDF">
        <w:rPr>
          <w:rFonts w:ascii="Times New Roman" w:eastAsia="Times New Roman" w:hAnsi="Times New Roman" w:cs="Times New Roman"/>
          <w:sz w:val="20"/>
          <w:szCs w:val="20"/>
          <w:lang w:eastAsia="pt-BR"/>
        </w:rPr>
        <w:t>0026714-94.2024.8.16.0014</w:t>
      </w:r>
      <w:r>
        <w:rPr>
          <w:rFonts w:ascii="Times New Roman" w:eastAsia="Times New Roman" w:hAnsi="Times New Roman" w:cs="Times New Roman"/>
          <w:sz w:val="20"/>
          <w:szCs w:val="20"/>
          <w:lang w:eastAsia="pt-BR"/>
        </w:rPr>
        <w:t>. Londrina. Data de Julgamento: 01-07-2024).</w:t>
      </w:r>
    </w:p>
    <w:p w14:paraId="7A10C03E"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41E7BCEE" w14:textId="70E70FC4" w:rsidR="001F4679" w:rsidRDefault="001F4679" w:rsidP="00656A2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w:t>
      </w:r>
      <w:r w:rsidR="00C86FAB">
        <w:rPr>
          <w:rFonts w:ascii="Times New Roman" w:eastAsia="Times New Roman" w:hAnsi="Times New Roman" w:cs="Times New Roman"/>
          <w:sz w:val="24"/>
          <w:szCs w:val="24"/>
          <w:lang w:eastAsia="pt-BR"/>
        </w:rPr>
        <w:t xml:space="preserve">, não se cogita </w:t>
      </w:r>
      <w:r>
        <w:rPr>
          <w:rFonts w:ascii="Times New Roman" w:eastAsia="Times New Roman" w:hAnsi="Times New Roman" w:cs="Times New Roman"/>
          <w:sz w:val="24"/>
          <w:szCs w:val="24"/>
          <w:lang w:eastAsia="pt-BR"/>
        </w:rPr>
        <w:t>o acolhimento do recurso.</w:t>
      </w:r>
    </w:p>
    <w:p w14:paraId="5A3A8407"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7CAC3F44"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7041EB1" w14:textId="49A8D3D4"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conhecer e </w:t>
      </w:r>
      <w:r w:rsidR="00656A2A">
        <w:rPr>
          <w:rFonts w:ascii="Times New Roman" w:eastAsia="Times New Roman" w:hAnsi="Times New Roman" w:cs="Times New Roman"/>
          <w:sz w:val="24"/>
          <w:szCs w:val="24"/>
          <w:lang w:eastAsia="pt-BR"/>
        </w:rPr>
        <w:t>rejeitar</w:t>
      </w:r>
      <w:r>
        <w:rPr>
          <w:rFonts w:ascii="Times New Roman" w:eastAsia="Times New Roman" w:hAnsi="Times New Roman" w:cs="Times New Roman"/>
          <w:sz w:val="24"/>
          <w:szCs w:val="24"/>
          <w:lang w:eastAsia="pt-BR"/>
        </w:rPr>
        <w:t xml:space="preserve"> os embargos.</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56A2A"/>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44DDF"/>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5DAE"/>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47078-3A48-44FE-8F8C-4AB5F078E573}">
  <ds:schemaRefs>
    <ds:schemaRef ds:uri="http://schemas.openxmlformats.org/officeDocument/2006/bibliography"/>
  </ds:schemaRefs>
</ds:datastoreItem>
</file>

<file path=customXml/itemProps2.xml><?xml version="1.0" encoding="utf-8"?>
<ds:datastoreItem xmlns:ds="http://schemas.openxmlformats.org/officeDocument/2006/customXml" ds:itemID="{C74AB1A2-4353-4A4E-BF3C-8768265CA29B}"/>
</file>

<file path=customXml/itemProps3.xml><?xml version="1.0" encoding="utf-8"?>
<ds:datastoreItem xmlns:ds="http://schemas.openxmlformats.org/officeDocument/2006/customXml" ds:itemID="{D9B1D941-D174-405B-A8F4-2608F7361974}"/>
</file>

<file path=customXml/itemProps4.xml><?xml version="1.0" encoding="utf-8"?>
<ds:datastoreItem xmlns:ds="http://schemas.openxmlformats.org/officeDocument/2006/customXml" ds:itemID="{C31BFBCA-4549-4848-932A-83603DE8D272}"/>
</file>

<file path=docProps/app.xml><?xml version="1.0" encoding="utf-8"?>
<Properties xmlns="http://schemas.openxmlformats.org/officeDocument/2006/extended-properties" xmlns:vt="http://schemas.openxmlformats.org/officeDocument/2006/docPropsVTypes">
  <Template>Normal</Template>
  <TotalTime>1159</TotalTime>
  <Pages>1</Pages>
  <Words>671</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2024-07-03T20:49:00Z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332400</vt:r8>
  </property>
</Properties>
</file>