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6B" w:rsidRDefault="00A4563A" w:rsidP="00A4563A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 xml:space="preserve">DECISÃO MONOCRÁTICA. </w:t>
      </w:r>
      <w:r w:rsidRPr="00CD18F4">
        <w:rPr>
          <w:b/>
          <w:sz w:val="24"/>
          <w:szCs w:val="24"/>
          <w:lang w:eastAsia="pt-BR"/>
        </w:rPr>
        <w:t xml:space="preserve">PENAL E PROCESSUAL PENAL. </w:t>
      </w:r>
      <w:r w:rsidR="007F776B">
        <w:rPr>
          <w:b/>
          <w:sz w:val="24"/>
          <w:szCs w:val="24"/>
          <w:lang w:eastAsia="pt-BR"/>
        </w:rPr>
        <w:t>APELAÇÃO CRIMINAL. CRIME DE FURTO QUALIFICADO. ART. 155, § 4º DO CP. BAIXA DOS AUTOS AO PRIMEIRO GRAU PARA JULGAMENTO DE EMBARGOS DE DECLARAÇÃO OPOSTOS CONTRA SENTENÇA. PUNIBILIDADE EXTINTA. PRESCRIÇÃO DA PRETENSÃO PUNITIVA. PERDA SUPERVENIENTE DO OBJETO RECURSAL. RECURSOS NÃO CONHECIDOS.</w:t>
      </w:r>
    </w:p>
    <w:p w:rsidR="007F776B" w:rsidRDefault="00A4563A" w:rsidP="00A4563A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 xml:space="preserve">1. </w:t>
      </w:r>
      <w:r w:rsidR="007F776B">
        <w:rPr>
          <w:b/>
          <w:sz w:val="24"/>
          <w:szCs w:val="24"/>
          <w:lang w:eastAsia="pt-BR"/>
        </w:rPr>
        <w:t>Declarada a prescrição da pretensão punitiva pelo juízo de primeiro grau, resulta prejudicado o objeto dos recursos de apelação pendentes de julgamento.</w:t>
      </w:r>
    </w:p>
    <w:p w:rsidR="007F776B" w:rsidRDefault="007F776B" w:rsidP="00A4563A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2. Recursos não conhecidos.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</w:p>
    <w:p w:rsidR="00A4563A" w:rsidRPr="00816FAE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  <w:bookmarkStart w:id="0" w:name="_GoBack"/>
      <w:r w:rsidRPr="00816FAE">
        <w:rPr>
          <w:b/>
          <w:sz w:val="24"/>
          <w:szCs w:val="24"/>
          <w:lang w:eastAsia="pt-BR"/>
        </w:rPr>
        <w:t>I – RELATÓRIO</w:t>
      </w:r>
    </w:p>
    <w:p w:rsidR="00AB10DA" w:rsidRDefault="00A4563A" w:rsidP="00AB10D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Cuida-se de</w:t>
      </w:r>
      <w:r w:rsidR="00AB10DA">
        <w:rPr>
          <w:sz w:val="24"/>
          <w:szCs w:val="24"/>
          <w:lang w:eastAsia="pt-BR"/>
        </w:rPr>
        <w:t xml:space="preserve"> recursos de apelação interpostos por João Carlos Ladislau e Joel Rodrigues Ferreira, tendo como objeto sentença proferida pelo juízo da Vara Criminal de Laranjeiras do Sul, que os condenou, pela prática do delito previsto no artigo 155, § 4º, incisos II e IV do Código Penal, respectivamente, às penas de 1 (um) ano e 4 (quatro) meses de reclusão e 7 (sete) dias-multa e 2 (dois) anos de reclusão e 10 (dez) dias-multa, substituídas por restritivas de direito consistentes em prestação pecuniária e prestação de serviços à comunidade (evento 185.1 – autos de origem).</w:t>
      </w:r>
    </w:p>
    <w:p w:rsidR="00AB10DA" w:rsidRDefault="00AB10DA" w:rsidP="00AB10D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Após a interposição das apelações (eventos 198.1 e 200.1 – autos de origem), sobreveio complementação da sentença, motivada por embargos de declaração, a declarar a prescrição da pretensão punitiva de declarar a extinção da punibilidade dos réus (evento 222.1).</w:t>
      </w:r>
    </w:p>
    <w:p w:rsidR="00A4563A" w:rsidRDefault="00065A09" w:rsidP="00065A09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Opinou a Procuradoria-Geral de Justiça pelo não conhecimento dos recursos, ante a perda superveniente de seu objeto (evento 23.1).</w:t>
      </w:r>
    </w:p>
    <w:p w:rsidR="00065A09" w:rsidRDefault="00065A09" w:rsidP="00065A09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É o necessário relato.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</w:p>
    <w:p w:rsidR="00A4563A" w:rsidRPr="00065A09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  <w:r w:rsidRPr="00065A09">
        <w:rPr>
          <w:b/>
          <w:sz w:val="24"/>
          <w:szCs w:val="24"/>
          <w:lang w:eastAsia="pt-BR"/>
        </w:rPr>
        <w:t>II – FUNDAMENTAÇÃO</w:t>
      </w:r>
    </w:p>
    <w:p w:rsidR="00A4563A" w:rsidRDefault="00065A09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lastRenderedPageBreak/>
        <w:t>Declarada a extinção da punibilidade pela prescrição, resulta prejudicado o objeto dos recursos de apelação em exame.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Em tal hipótese, </w:t>
      </w:r>
      <w:r w:rsidR="00065A09">
        <w:rPr>
          <w:sz w:val="24"/>
          <w:szCs w:val="24"/>
          <w:lang w:eastAsia="pt-BR"/>
        </w:rPr>
        <w:t>conforme</w:t>
      </w:r>
      <w:r>
        <w:rPr>
          <w:sz w:val="24"/>
          <w:szCs w:val="24"/>
          <w:lang w:eastAsia="pt-BR"/>
        </w:rPr>
        <w:t xml:space="preserve"> jurisprudência desta Corte, </w:t>
      </w:r>
      <w:r w:rsidR="00065A09">
        <w:rPr>
          <w:sz w:val="24"/>
          <w:szCs w:val="24"/>
          <w:lang w:eastAsia="pt-BR"/>
        </w:rPr>
        <w:t xml:space="preserve">impõe-se o não conhecimento do recurso por </w:t>
      </w:r>
      <w:r>
        <w:rPr>
          <w:sz w:val="24"/>
          <w:szCs w:val="24"/>
          <w:lang w:eastAsia="pt-BR"/>
        </w:rPr>
        <w:t>decisão monocrática:</w:t>
      </w:r>
    </w:p>
    <w:p w:rsidR="00065A09" w:rsidRDefault="00065A09" w:rsidP="00065A09">
      <w:pPr>
        <w:spacing w:before="600" w:after="600" w:line="360" w:lineRule="auto"/>
        <w:ind w:left="2268"/>
        <w:jc w:val="both"/>
        <w:rPr>
          <w:lang w:eastAsia="pt-BR"/>
        </w:rPr>
      </w:pPr>
      <w:r>
        <w:rPr>
          <w:lang w:eastAsia="pt-BR"/>
        </w:rPr>
        <w:t>APELAÇÃO CRIMINAL. CRIME DE FURTO</w:t>
      </w:r>
      <w:r>
        <w:rPr>
          <w:lang w:eastAsia="pt-BR"/>
        </w:rPr>
        <w:t xml:space="preserve"> </w:t>
      </w:r>
      <w:r>
        <w:rPr>
          <w:lang w:eastAsia="pt-BR"/>
        </w:rPr>
        <w:t>QUALIFICADO. DECRETAÇÃO DA EXTINÇÃO DA</w:t>
      </w:r>
      <w:r>
        <w:rPr>
          <w:lang w:eastAsia="pt-BR"/>
        </w:rPr>
        <w:t xml:space="preserve"> </w:t>
      </w:r>
      <w:r>
        <w:rPr>
          <w:lang w:eastAsia="pt-BR"/>
        </w:rPr>
        <w:t>PUNIBILIDADE DO RÉU PELO JUÍZO DE PRIMEIRO</w:t>
      </w:r>
      <w:r>
        <w:rPr>
          <w:lang w:eastAsia="pt-BR"/>
        </w:rPr>
        <w:t xml:space="preserve"> </w:t>
      </w:r>
      <w:r>
        <w:rPr>
          <w:lang w:eastAsia="pt-BR"/>
        </w:rPr>
        <w:t>GRAU. PRESCRIÇÃO DA PRETENSÃO PUNITIVA.</w:t>
      </w:r>
      <w:r>
        <w:rPr>
          <w:lang w:eastAsia="pt-BR"/>
        </w:rPr>
        <w:t xml:space="preserve"> </w:t>
      </w:r>
      <w:r>
        <w:rPr>
          <w:lang w:eastAsia="pt-BR"/>
        </w:rPr>
        <w:t>RECURSO PREJUDICADO PELA PERDA DO OBJETO.</w:t>
      </w:r>
      <w:r>
        <w:rPr>
          <w:lang w:eastAsia="pt-BR"/>
        </w:rPr>
        <w:t xml:space="preserve"> </w:t>
      </w:r>
      <w:r>
        <w:rPr>
          <w:lang w:eastAsia="pt-BR"/>
        </w:rPr>
        <w:t>NÃO CONHECIMENTO.</w:t>
      </w:r>
      <w:r>
        <w:rPr>
          <w:lang w:eastAsia="pt-BR"/>
        </w:rPr>
        <w:t xml:space="preserve"> (TJPR. 4ª Câmara Criminal. Relator: Desembargadora Sonia Regina de Castro. </w:t>
      </w:r>
      <w:r>
        <w:rPr>
          <w:lang w:eastAsia="pt-BR"/>
        </w:rPr>
        <w:t>0020451-98.2014.8.16.0013</w:t>
      </w:r>
      <w:r>
        <w:rPr>
          <w:lang w:eastAsia="pt-BR"/>
        </w:rPr>
        <w:t>.</w:t>
      </w:r>
      <w:r>
        <w:rPr>
          <w:lang w:eastAsia="pt-BR"/>
        </w:rPr>
        <w:t xml:space="preserve"> Curitiba</w:t>
      </w:r>
      <w:r>
        <w:rPr>
          <w:lang w:eastAsia="pt-BR"/>
        </w:rPr>
        <w:t>. Data de Julgamento: 30-03-2022).</w:t>
      </w:r>
    </w:p>
    <w:p w:rsidR="00065A09" w:rsidRDefault="00065A09" w:rsidP="00065A09">
      <w:pPr>
        <w:spacing w:before="240" w:after="240" w:line="360" w:lineRule="auto"/>
        <w:ind w:firstLine="709"/>
        <w:jc w:val="both"/>
        <w:rPr>
          <w:lang w:eastAsia="pt-BR"/>
        </w:rPr>
      </w:pPr>
    </w:p>
    <w:p w:rsidR="00A4563A" w:rsidRDefault="00A4563A" w:rsidP="00065A09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  <w:r w:rsidRPr="004C4063">
        <w:rPr>
          <w:b/>
          <w:sz w:val="24"/>
          <w:szCs w:val="24"/>
          <w:lang w:eastAsia="pt-BR"/>
        </w:rPr>
        <w:t xml:space="preserve">III </w:t>
      </w:r>
      <w:r>
        <w:rPr>
          <w:b/>
          <w:sz w:val="24"/>
          <w:szCs w:val="24"/>
          <w:lang w:eastAsia="pt-BR"/>
        </w:rPr>
        <w:t>–</w:t>
      </w:r>
      <w:r w:rsidRPr="004C4063">
        <w:rPr>
          <w:b/>
          <w:sz w:val="24"/>
          <w:szCs w:val="24"/>
          <w:lang w:eastAsia="pt-BR"/>
        </w:rPr>
        <w:t xml:space="preserve"> DECISÃO</w:t>
      </w:r>
    </w:p>
    <w:p w:rsidR="00065A09" w:rsidRDefault="00A4563A" w:rsidP="005A646E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Ante o exposto, </w:t>
      </w:r>
      <w:r w:rsidR="00065A09">
        <w:rPr>
          <w:sz w:val="24"/>
          <w:szCs w:val="24"/>
          <w:lang w:eastAsia="pt-BR"/>
        </w:rPr>
        <w:t>com fulcro no artigo 182, inciso XIX, do Regimento Interno do Tribunal de Justiça do Estado do Paraná, não se conhece dos recursos de apelação interpostos.</w:t>
      </w:r>
    </w:p>
    <w:p w:rsidR="00065A09" w:rsidRDefault="00065A09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 w:rsidRPr="00065A09">
        <w:rPr>
          <w:sz w:val="24"/>
          <w:szCs w:val="24"/>
          <w:lang w:eastAsia="pt-BR"/>
        </w:rPr>
        <w:t xml:space="preserve">Considerando os vetores inscritos no artigo 85, § 2º, do Código de Processo Civil, arbitra-se em R$ 600,00 (seiscentos reais) os honorários dativos </w:t>
      </w:r>
      <w:r>
        <w:rPr>
          <w:sz w:val="24"/>
          <w:szCs w:val="24"/>
          <w:lang w:eastAsia="pt-BR"/>
        </w:rPr>
        <w:t xml:space="preserve">da advogada Daiane Caroline Dal’maso Pasa e, em </w:t>
      </w:r>
      <w:r w:rsidR="007F776B">
        <w:rPr>
          <w:sz w:val="24"/>
          <w:szCs w:val="24"/>
          <w:lang w:eastAsia="pt-BR"/>
        </w:rPr>
        <w:t xml:space="preserve">R$ 600,00 (seiscentos reais) os honorários dativos do advogado Lucas Labarba Forte Spézio, </w:t>
      </w:r>
      <w:r w:rsidR="007F776B" w:rsidRPr="007F776B">
        <w:rPr>
          <w:b/>
          <w:sz w:val="24"/>
          <w:szCs w:val="24"/>
          <w:u w:val="single"/>
          <w:lang w:eastAsia="pt-BR"/>
        </w:rPr>
        <w:t>servindo a presente decisão com certidão de honorários.</w:t>
      </w:r>
    </w:p>
    <w:p w:rsidR="005A646E" w:rsidRDefault="005A646E" w:rsidP="005A646E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Intimem-se.</w:t>
      </w:r>
    </w:p>
    <w:p w:rsidR="004864FF" w:rsidRPr="005A646E" w:rsidRDefault="00A4563A" w:rsidP="005A646E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Oportunamente, arquivem-se.</w:t>
      </w:r>
      <w:bookmarkEnd w:id="0"/>
    </w:p>
    <w:sectPr w:rsidR="004864FF" w:rsidRPr="005A646E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7E" w:rsidRDefault="00E57A7E" w:rsidP="00E57A7E">
      <w:r>
        <w:separator/>
      </w:r>
    </w:p>
  </w:endnote>
  <w:endnote w:type="continuationSeparator" w:id="0">
    <w:p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7E" w:rsidRDefault="00E57A7E" w:rsidP="00E57A7E">
      <w:r>
        <w:separator/>
      </w:r>
    </w:p>
  </w:footnote>
  <w:footnote w:type="continuationSeparator" w:id="0">
    <w:p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62DDB"/>
    <w:rsid w:val="00065A09"/>
    <w:rsid w:val="00132CD6"/>
    <w:rsid w:val="003B0C74"/>
    <w:rsid w:val="004864FF"/>
    <w:rsid w:val="005A646E"/>
    <w:rsid w:val="00704CE9"/>
    <w:rsid w:val="007C1295"/>
    <w:rsid w:val="007F776B"/>
    <w:rsid w:val="0080753B"/>
    <w:rsid w:val="00A4563A"/>
    <w:rsid w:val="00AB10DA"/>
    <w:rsid w:val="00B40E92"/>
    <w:rsid w:val="00BD3F10"/>
    <w:rsid w:val="00C64155"/>
    <w:rsid w:val="00DA36D7"/>
    <w:rsid w:val="00E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FF21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87296-4F24-46BE-8571-934091C3D7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9CF0C7-6687-4616-8B8C-A470588BAC81}"/>
</file>

<file path=customXml/itemProps3.xml><?xml version="1.0" encoding="utf-8"?>
<ds:datastoreItem xmlns:ds="http://schemas.openxmlformats.org/officeDocument/2006/customXml" ds:itemID="{203D1D9B-4CA4-4AFF-BE73-89C614E7E1BC}"/>
</file>

<file path=customXml/itemProps4.xml><?xml version="1.0" encoding="utf-8"?>
<ds:datastoreItem xmlns:ds="http://schemas.openxmlformats.org/officeDocument/2006/customXml" ds:itemID="{BA232702-E2E2-484E-95A5-41232A0002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2023-06-26T17:41:00Z</dcterms:created>
  <dcterms:modified xsi:type="dcterms:W3CDTF">2024-07-23T21:48:00Z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333200</vt:r8>
  </property>
</Properties>
</file>