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0DD" w:rsidRDefault="00F450DD" w:rsidP="00F450DD">
      <w:pPr>
        <w:ind w:firstLine="0"/>
        <w:rPr>
          <w:b/>
        </w:rPr>
      </w:pPr>
      <w:r>
        <w:rPr>
          <w:b/>
        </w:rPr>
        <w:t xml:space="preserve">PENAL. PROCESSUAL PENAL. APELAÇÃO CRIMINAL. FURTO QUALIFICADO. ART. 155, § 4º, </w:t>
      </w:r>
      <w:proofErr w:type="spellStart"/>
      <w:r>
        <w:rPr>
          <w:b/>
        </w:rPr>
        <w:t>IV</w:t>
      </w:r>
      <w:proofErr w:type="spellEnd"/>
      <w:r>
        <w:rPr>
          <w:b/>
        </w:rPr>
        <w:t xml:space="preserve">, CP. FALSA IDENTIDADE. 307, CP. BAGATELA. ATIPICIDADE MATERIAL. RES FURTIVA SUPERIOR A 10% DO SALÁRIO-MÍNIMO. HABITUALIDADE DELITIVA. EXPRESSIVIDADE DA LESÃO. REPROVABILIDADE SOCIAL DA CONDUTA. DESCRIMINALIZAÇÃO INVIÁVEL. FALSA IDENTIDADE. ALEGAÇÃO DE RETRATAÇÃO DURANTE O FLAGRANTE. IDENTIDADE CORRETA FORNECIDA POR TERCEIRA PESSOA. CRIME FORMAL. SÚMULA 522, STJ. </w:t>
      </w:r>
      <w:r w:rsidR="00870921">
        <w:rPr>
          <w:b/>
        </w:rPr>
        <w:t>MATERIALIDADE DELITIVA COMPROVADA. DOSIMETRIA. MAUS ANTECEDENTES. CUMPRIMENTO DA PENA PELO CRIME ANTERIOR. IRRELEVÂNCIA. PERÍODO DEPURADOR. CINCO ANOS. NÃO DECORRIDO. ART. 64, I, CP. SENTENÇA MANTIDA. RECURSO CONHECIDO E DESPROVIDO.</w:t>
      </w:r>
    </w:p>
    <w:p w:rsidR="00CD2428" w:rsidRDefault="00870921" w:rsidP="00870921">
      <w:pPr>
        <w:ind w:firstLine="0"/>
        <w:rPr>
          <w:b/>
        </w:rPr>
      </w:pPr>
      <w:r>
        <w:rPr>
          <w:b/>
        </w:rPr>
        <w:t xml:space="preserve">1. Avaliada a </w:t>
      </w:r>
      <w:r>
        <w:rPr>
          <w:b/>
          <w:i/>
        </w:rPr>
        <w:t xml:space="preserve">res </w:t>
      </w:r>
      <w:r>
        <w:rPr>
          <w:b/>
        </w:rPr>
        <w:t xml:space="preserve">furtiva em quantia superior a 10% por cento do salário-mínimo e sendo a acusada </w:t>
      </w:r>
      <w:r w:rsidRPr="00870921">
        <w:rPr>
          <w:b/>
        </w:rPr>
        <w:t xml:space="preserve">multirreincidente </w:t>
      </w:r>
      <w:r>
        <w:rPr>
          <w:b/>
        </w:rPr>
        <w:t>na prática de furto, a expressividade da lesão ao bem jurídico protegido e a elevada reprovabilidade social da conduta contraindicam a aplicação do princípio da bagatela, para reconhecimento da atipicidade da conduta.</w:t>
      </w:r>
    </w:p>
    <w:p w:rsidR="00870921" w:rsidRDefault="00870921" w:rsidP="00870921">
      <w:pPr>
        <w:ind w:firstLine="0"/>
        <w:rPr>
          <w:b/>
        </w:rPr>
      </w:pPr>
      <w:r>
        <w:rPr>
          <w:b/>
        </w:rPr>
        <w:t xml:space="preserve">2. O crime de falsa identidade possui natureza formal e configura-se com a simples conduta de atribuir-se falsa identidade com vontade específica de obtenção de vantagem, independente de resultado </w:t>
      </w:r>
      <w:proofErr w:type="spellStart"/>
      <w:r>
        <w:rPr>
          <w:b/>
        </w:rPr>
        <w:t>materialístico</w:t>
      </w:r>
      <w:proofErr w:type="spellEnd"/>
      <w:r>
        <w:rPr>
          <w:b/>
        </w:rPr>
        <w:t>.</w:t>
      </w:r>
    </w:p>
    <w:p w:rsidR="00870921" w:rsidRDefault="00870921" w:rsidP="00870921">
      <w:pPr>
        <w:ind w:firstLine="0"/>
        <w:rPr>
          <w:b/>
        </w:rPr>
      </w:pPr>
      <w:r>
        <w:rPr>
          <w:b/>
        </w:rPr>
        <w:t xml:space="preserve">3. O prazo depurador quinquenal, contado da extinção da pena do crime anterior, é condição legal à </w:t>
      </w:r>
      <w:proofErr w:type="spellStart"/>
      <w:r>
        <w:rPr>
          <w:b/>
        </w:rPr>
        <w:t>desconfiguração</w:t>
      </w:r>
      <w:proofErr w:type="spellEnd"/>
      <w:r>
        <w:rPr>
          <w:b/>
        </w:rPr>
        <w:t xml:space="preserve"> da condição pessoal de reincidente. Inteligência do artigo 64, inciso I, do Código Penal.</w:t>
      </w:r>
    </w:p>
    <w:p w:rsidR="00870921" w:rsidRPr="00870921" w:rsidRDefault="00870921" w:rsidP="00870921">
      <w:pPr>
        <w:ind w:firstLine="0"/>
        <w:rPr>
          <w:rFonts w:eastAsia="Times New Roman" w:cs="Times New Roman"/>
          <w:b/>
          <w:bCs/>
          <w:szCs w:val="24"/>
          <w:lang w:eastAsia="pt-BR"/>
        </w:rPr>
      </w:pPr>
      <w:r>
        <w:rPr>
          <w:b/>
        </w:rPr>
        <w:t>4. Recurso conhecido e desprovido.</w:t>
      </w:r>
    </w:p>
    <w:p w:rsidR="00CD2428" w:rsidRDefault="00CD2428" w:rsidP="00AA28DF">
      <w:pPr>
        <w:pStyle w:val="PargrafodaLista"/>
        <w:ind w:left="0"/>
        <w:contextualSpacing w:val="0"/>
        <w:rPr>
          <w:b/>
        </w:rPr>
      </w:pPr>
    </w:p>
    <w:p w:rsidR="00AA28DF" w:rsidRDefault="00AA28DF" w:rsidP="00AA28DF">
      <w:pPr>
        <w:pStyle w:val="PargrafodaLista"/>
        <w:ind w:left="0"/>
        <w:contextualSpacing w:val="0"/>
        <w:rPr>
          <w:b/>
        </w:rPr>
      </w:pPr>
      <w:r>
        <w:rPr>
          <w:b/>
        </w:rPr>
        <w:t>I – RELATÓRIO</w:t>
      </w:r>
    </w:p>
    <w:p w:rsidR="005C0B23" w:rsidRDefault="005C0B23" w:rsidP="00AA28DF">
      <w:pPr>
        <w:pStyle w:val="PargrafodaLista"/>
        <w:ind w:left="0"/>
        <w:contextualSpacing w:val="0"/>
      </w:pPr>
      <w:r>
        <w:t xml:space="preserve">Cuida-se de recurso de apelação interposto por Adriana Lopes, tendo como objeto sentença proferida pelo juízo da 1ª Vara Criminal de Colombo, que julgou procedente pretensão punitiva estatal para condená-la, pela prática dos crimes previstos nos artigos 155, § 4º, inciso </w:t>
      </w:r>
      <w:proofErr w:type="spellStart"/>
      <w:r>
        <w:t>IV</w:t>
      </w:r>
      <w:proofErr w:type="spellEnd"/>
      <w:r>
        <w:t xml:space="preserve"> e 307, do Código Penal, às penas de: a) 2 (dois) anos e 8 (oito) meses de reclusão, em regime inicial fechado; </w:t>
      </w:r>
      <w:proofErr w:type="spellStart"/>
      <w:r>
        <w:t>a.a</w:t>
      </w:r>
      <w:proofErr w:type="spellEnd"/>
      <w:r>
        <w:t>) 13 (treze) dias-multa; c) 4 (quatro) meses e 20 (vinte dias) de detenção, em regime inicial semiaberto (evento 117.1 – autos de origem).</w:t>
      </w:r>
    </w:p>
    <w:p w:rsidR="006D3688" w:rsidRDefault="005C0B23" w:rsidP="00AA28DF">
      <w:pPr>
        <w:pStyle w:val="PargrafodaLista"/>
        <w:ind w:left="0"/>
        <w:contextualSpacing w:val="0"/>
      </w:pPr>
      <w:r>
        <w:t xml:space="preserve">Eis, em síntese, as razões de inconformismo: a) aplica-se, ao crime de furto, o princípio da insignificância, afastando-se a tipicidade material da conduta; b) em razão da retratação acerca da identidade inicialmente fornecida, não se consumou o crime de falsa identidade; c) o cumprimento integral da pena por condenação anterior, transitada em julgado, obsta a valoração negativa </w:t>
      </w:r>
      <w:r w:rsidR="006D3688">
        <w:t>no tópico dos antecedentes (evento 14.1).</w:t>
      </w:r>
    </w:p>
    <w:p w:rsidR="006D3688" w:rsidRDefault="006D3688" w:rsidP="00AA28DF">
      <w:pPr>
        <w:pStyle w:val="PargrafodaLista"/>
        <w:ind w:left="0"/>
        <w:contextualSpacing w:val="0"/>
      </w:pPr>
      <w:r>
        <w:t xml:space="preserve">Nas contrarrazões, o Ministério Público do Estado do Paraná argumentou que: a) a valor da </w:t>
      </w:r>
      <w:r w:rsidRPr="006D3688">
        <w:rPr>
          <w:i/>
        </w:rPr>
        <w:t>res</w:t>
      </w:r>
      <w:r>
        <w:t xml:space="preserve"> furtiva, superior a 10% (dez por cento) do salário mínimo e a reincidência específica são fatores obstativos do reconhecimento da atipicidade material; b) a apelante forneceu nome falso, quando abordada pela polícia militar, para evitar cumprimento de mandado de prisão pendente em seu desfavor e sua identificação somente ocorreu após uma terceira pessoa chama-la, durante a abordagem, pelo prenome verdadeiro; c) não houve depuração da condenação anterior a afastar sua repercussão para fins de dosimetria (evento 17.1 – autos de origem).</w:t>
      </w:r>
    </w:p>
    <w:p w:rsidR="006D3688" w:rsidRDefault="006D3688" w:rsidP="00AA28DF">
      <w:pPr>
        <w:pStyle w:val="PargrafodaLista"/>
        <w:ind w:left="0"/>
        <w:contextualSpacing w:val="0"/>
      </w:pPr>
      <w:r>
        <w:t>Opinou a Procuradoria-Geral de Justiça pelo conhecimento e desprovimento do recurso (evento 21.1).</w:t>
      </w:r>
    </w:p>
    <w:p w:rsidR="006D3688" w:rsidRDefault="006D3688" w:rsidP="00AA28DF">
      <w:pPr>
        <w:pStyle w:val="PargrafodaLista"/>
        <w:ind w:left="0"/>
        <w:contextualSpacing w:val="0"/>
      </w:pPr>
      <w:r>
        <w:t>É o necessário relato.</w:t>
      </w:r>
    </w:p>
    <w:p w:rsidR="00AA28DF" w:rsidRDefault="00AA28DF" w:rsidP="00877419">
      <w:pPr>
        <w:pStyle w:val="PargrafodaLista"/>
        <w:ind w:left="0"/>
        <w:contextualSpacing w:val="0"/>
      </w:pPr>
    </w:p>
    <w:p w:rsidR="00AA28DF" w:rsidRPr="00AA28DF" w:rsidRDefault="00AA28DF" w:rsidP="00877419">
      <w:pPr>
        <w:pStyle w:val="PargrafodaLista"/>
        <w:ind w:left="0"/>
        <w:contextualSpacing w:val="0"/>
        <w:rPr>
          <w:b/>
        </w:rPr>
      </w:pPr>
      <w:r w:rsidRPr="00AA28DF">
        <w:rPr>
          <w:b/>
        </w:rPr>
        <w:t>II – VOTO E SUA FUNDAMENTAÇÃO</w:t>
      </w:r>
    </w:p>
    <w:p w:rsidR="00AA28DF" w:rsidRDefault="00AA28DF" w:rsidP="00877419">
      <w:pPr>
        <w:pStyle w:val="PargrafodaLista"/>
        <w:ind w:left="0"/>
        <w:contextualSpacing w:val="0"/>
      </w:pPr>
      <w:proofErr w:type="spellStart"/>
      <w:r>
        <w:t>II.I</w:t>
      </w:r>
      <w:proofErr w:type="spellEnd"/>
      <w:r>
        <w:t xml:space="preserve"> – DO JUÍZO DE ADMISSIBILIDADE</w:t>
      </w:r>
    </w:p>
    <w:p w:rsidR="006D3688" w:rsidRDefault="006D3688" w:rsidP="00877419">
      <w:pPr>
        <w:pStyle w:val="PargrafodaLista"/>
        <w:ind w:left="0"/>
        <w:contextualSpacing w:val="0"/>
      </w:pPr>
      <w:r>
        <w:t>Satisfeitos os pressupostos de admissibilidade recursal, conhece-se da apelação interposta.</w:t>
      </w:r>
    </w:p>
    <w:p w:rsidR="006D3688" w:rsidRDefault="006D3688" w:rsidP="00877419">
      <w:pPr>
        <w:pStyle w:val="PargrafodaLista"/>
        <w:ind w:left="0"/>
        <w:contextualSpacing w:val="0"/>
      </w:pPr>
    </w:p>
    <w:p w:rsidR="006D3688" w:rsidRDefault="006D3688" w:rsidP="00877419">
      <w:pPr>
        <w:pStyle w:val="PargrafodaLista"/>
        <w:ind w:left="0"/>
        <w:contextualSpacing w:val="0"/>
      </w:pPr>
      <w:proofErr w:type="spellStart"/>
      <w:r>
        <w:t>II.II</w:t>
      </w:r>
      <w:proofErr w:type="spellEnd"/>
      <w:r>
        <w:t xml:space="preserve"> – DO CRIME DE FURTO QUALIFICADO (1º FATO)</w:t>
      </w:r>
    </w:p>
    <w:p w:rsidR="00CD2428" w:rsidRDefault="00CD2428" w:rsidP="00CD2428">
      <w:pPr>
        <w:spacing w:before="240"/>
        <w:rPr>
          <w:rFonts w:eastAsia="Times New Roman" w:cs="Times New Roman"/>
          <w:bCs/>
          <w:szCs w:val="24"/>
          <w:lang w:eastAsia="pt-BR"/>
        </w:rPr>
      </w:pPr>
      <w:r>
        <w:rPr>
          <w:rFonts w:eastAsia="Times New Roman" w:cs="Times New Roman"/>
          <w:bCs/>
          <w:szCs w:val="24"/>
          <w:lang w:eastAsia="pt-BR"/>
        </w:rPr>
        <w:t>Cinge-se a controvérsia recursal, neste ponto, à pretensão de reconhecimento da atipicidade material da conduta em razão da inexpressividade da ofensa e do reduzido grau de reprovabilidade social.</w:t>
      </w:r>
    </w:p>
    <w:p w:rsidR="00CD2428" w:rsidRDefault="00CD2428" w:rsidP="00CD2428">
      <w:pPr>
        <w:spacing w:before="240"/>
        <w:rPr>
          <w:rFonts w:eastAsia="Times New Roman" w:cs="Times New Roman"/>
          <w:bCs/>
          <w:szCs w:val="24"/>
          <w:lang w:eastAsia="pt-BR"/>
        </w:rPr>
      </w:pPr>
      <w:r>
        <w:rPr>
          <w:rFonts w:eastAsia="Times New Roman" w:cs="Times New Roman"/>
          <w:bCs/>
          <w:szCs w:val="24"/>
          <w:lang w:eastAsia="pt-BR"/>
        </w:rPr>
        <w:t>O princípio da insignificância, conclamado pela defesa, possibilita ao intérprete afastar do âmbito de criminalização conduta que represente lesão ínfima ao objeto de proteção da norma penal</w:t>
      </w:r>
      <w:r>
        <w:rPr>
          <w:rFonts w:eastAsia="Times New Roman" w:cs="Times New Roman"/>
          <w:bCs/>
          <w:szCs w:val="24"/>
          <w:lang w:eastAsia="pt-BR"/>
        </w:rPr>
        <w:t xml:space="preserve"> e s</w:t>
      </w:r>
      <w:r>
        <w:rPr>
          <w:rFonts w:eastAsia="Times New Roman" w:cs="Times New Roman"/>
          <w:bCs/>
          <w:szCs w:val="24"/>
          <w:lang w:eastAsia="pt-BR"/>
        </w:rPr>
        <w:t>ua aplicação, conforme escólio do Superior Tribunal de Justiça, condiciona-se à aplicação de fatores específicos, inferidos das circunstâncias do caso concreto.</w:t>
      </w:r>
    </w:p>
    <w:p w:rsidR="00CD2428" w:rsidRDefault="00CD2428" w:rsidP="00CD2428">
      <w:pPr>
        <w:spacing w:before="240"/>
        <w:rPr>
          <w:rFonts w:eastAsia="Times New Roman" w:cs="Times New Roman"/>
          <w:bCs/>
          <w:szCs w:val="24"/>
          <w:lang w:eastAsia="pt-BR"/>
        </w:rPr>
      </w:pPr>
      <w:r>
        <w:rPr>
          <w:rFonts w:eastAsia="Times New Roman" w:cs="Times New Roman"/>
          <w:bCs/>
          <w:szCs w:val="24"/>
          <w:lang w:eastAsia="pt-BR"/>
        </w:rPr>
        <w:t>Neste sentido:</w:t>
      </w:r>
    </w:p>
    <w:p w:rsidR="00CD2428" w:rsidRPr="00431541" w:rsidRDefault="00CD2428" w:rsidP="00CD2428">
      <w:pPr>
        <w:spacing w:before="600" w:after="600"/>
        <w:ind w:left="2268" w:firstLine="0"/>
        <w:rPr>
          <w:rFonts w:eastAsia="Times New Roman" w:cs="Times New Roman"/>
          <w:bCs/>
          <w:sz w:val="20"/>
          <w:szCs w:val="24"/>
          <w:lang w:eastAsia="pt-BR"/>
        </w:rPr>
      </w:pPr>
      <w:r w:rsidRPr="00431541">
        <w:rPr>
          <w:rFonts w:eastAsia="Times New Roman" w:cs="Times New Roman"/>
          <w:bCs/>
          <w:sz w:val="20"/>
          <w:szCs w:val="24"/>
          <w:lang w:eastAsia="pt-BR"/>
        </w:rPr>
        <w:t xml:space="preserve">RECURSO ESPECIAL. FURTO. </w:t>
      </w:r>
      <w:proofErr w:type="spellStart"/>
      <w:r w:rsidRPr="00431541">
        <w:rPr>
          <w:rFonts w:eastAsia="Times New Roman" w:cs="Times New Roman"/>
          <w:bCs/>
          <w:sz w:val="20"/>
          <w:szCs w:val="24"/>
          <w:lang w:eastAsia="pt-BR"/>
        </w:rPr>
        <w:t>MULTIRREINCIDÊNCIA</w:t>
      </w:r>
      <w:proofErr w:type="spellEnd"/>
      <w:r w:rsidRPr="00431541">
        <w:rPr>
          <w:rFonts w:eastAsia="Times New Roman" w:cs="Times New Roman"/>
          <w:bCs/>
          <w:sz w:val="20"/>
          <w:szCs w:val="24"/>
          <w:lang w:eastAsia="pt-BR"/>
        </w:rPr>
        <w:t xml:space="preserve"> ESPECÍFICA. GOZO DE PRISÃO DOMICILIAR. PRINCÍPIO DA INSIGNIFICÂNCIA. NÃO INCIDÊNCIA</w:t>
      </w:r>
      <w:r w:rsidRPr="00431541">
        <w:rPr>
          <w:rFonts w:eastAsia="Times New Roman" w:cs="Times New Roman"/>
          <w:b/>
          <w:bCs/>
          <w:sz w:val="20"/>
          <w:szCs w:val="24"/>
          <w:lang w:eastAsia="pt-BR"/>
        </w:rPr>
        <w:t>. 1. Esta Corte Superior tem precedentes no sentido de que a incidência do princípio da insignificância pressupõe a concomitância de quatro vetores: a) a mínima ofensividade da conduta do agente; b) nenhuma periculosidade social da ação; c) o reduzidíssimo grau de reprovabilidade do comportamento; e d) a inexpressividade da lesão jurídica provocada</w:t>
      </w:r>
      <w:r w:rsidRPr="00431541">
        <w:rPr>
          <w:rFonts w:eastAsia="Times New Roman" w:cs="Times New Roman"/>
          <w:bCs/>
          <w:sz w:val="20"/>
          <w:szCs w:val="24"/>
          <w:lang w:eastAsia="pt-BR"/>
        </w:rPr>
        <w:t>.</w:t>
      </w:r>
      <w:r>
        <w:rPr>
          <w:rFonts w:eastAsia="Times New Roman" w:cs="Times New Roman"/>
          <w:bCs/>
          <w:sz w:val="20"/>
          <w:szCs w:val="24"/>
          <w:lang w:eastAsia="pt-BR"/>
        </w:rPr>
        <w:t xml:space="preserve"> </w:t>
      </w:r>
      <w:r w:rsidRPr="00431541">
        <w:rPr>
          <w:rFonts w:eastAsia="Times New Roman" w:cs="Times New Roman"/>
          <w:bCs/>
          <w:sz w:val="20"/>
          <w:szCs w:val="24"/>
          <w:lang w:eastAsia="pt-BR"/>
        </w:rPr>
        <w:t xml:space="preserve">2. Terceira Seção, no julgamento do </w:t>
      </w:r>
      <w:proofErr w:type="spellStart"/>
      <w:r w:rsidRPr="00431541">
        <w:rPr>
          <w:rFonts w:eastAsia="Times New Roman" w:cs="Times New Roman"/>
          <w:bCs/>
          <w:sz w:val="20"/>
          <w:szCs w:val="24"/>
          <w:lang w:eastAsia="pt-BR"/>
        </w:rPr>
        <w:t>EAREsp</w:t>
      </w:r>
      <w:proofErr w:type="spellEnd"/>
      <w:r w:rsidRPr="00431541">
        <w:rPr>
          <w:rFonts w:eastAsia="Times New Roman" w:cs="Times New Roman"/>
          <w:bCs/>
          <w:sz w:val="20"/>
          <w:szCs w:val="24"/>
          <w:lang w:eastAsia="pt-BR"/>
        </w:rPr>
        <w:t xml:space="preserve"> 221.999/RS, de relatoria do Ministro Reynaldo Soares da Fonseca, estabeleceu a tese de que a reiteração criminosa inviabiliza a aplicação do princípio da insignificância, ressalvada a possibilidade de, no caso concreto, as instâncias ordinárias verificarem ser a medida socialmente recomendável, o que não se dá na hipótese.</w:t>
      </w:r>
      <w:r>
        <w:rPr>
          <w:rFonts w:eastAsia="Times New Roman" w:cs="Times New Roman"/>
          <w:bCs/>
          <w:sz w:val="20"/>
          <w:szCs w:val="24"/>
          <w:lang w:eastAsia="pt-BR"/>
        </w:rPr>
        <w:t xml:space="preserve"> </w:t>
      </w:r>
      <w:r w:rsidRPr="00431541">
        <w:rPr>
          <w:rFonts w:eastAsia="Times New Roman" w:cs="Times New Roman"/>
          <w:bCs/>
          <w:sz w:val="20"/>
          <w:szCs w:val="24"/>
          <w:lang w:eastAsia="pt-BR"/>
        </w:rPr>
        <w:t>3. A denúncia imputou ao acusado a subtração de 3 (três) desodorantes de uma farmácia, cujo valor agregado, segundo a representante da empresa ofendida, era de R$ 38,00, tendo os itens sido restituídos à vítima. Contudo, trata-se de réu multirreincidente específico que, além de estar em prisão domiciliar no momento em que praticou o furto, no dia 7/9/2016, também já foi condenado em 20/12/2013, por furto praticado em 24/1/2013; em 18/6/2014, por furto e resistência praticados em 26/11/2013; em 28/2/2008, por tentativa de furto e uso de documento falso praticados em 22/5/2007, e, por fim, condenado em 7/12/2007 por tentativa de furto praticada em 22/8/2007.</w:t>
      </w:r>
      <w:r>
        <w:rPr>
          <w:rFonts w:eastAsia="Times New Roman" w:cs="Times New Roman"/>
          <w:bCs/>
          <w:sz w:val="20"/>
          <w:szCs w:val="24"/>
          <w:lang w:eastAsia="pt-BR"/>
        </w:rPr>
        <w:t xml:space="preserve"> </w:t>
      </w:r>
      <w:r w:rsidRPr="00431541">
        <w:rPr>
          <w:rFonts w:eastAsia="Times New Roman" w:cs="Times New Roman"/>
          <w:bCs/>
          <w:sz w:val="20"/>
          <w:szCs w:val="24"/>
          <w:lang w:eastAsia="pt-BR"/>
        </w:rPr>
        <w:t>4. Recurso especial improvido.</w:t>
      </w:r>
      <w:r>
        <w:rPr>
          <w:rFonts w:eastAsia="Times New Roman" w:cs="Times New Roman"/>
          <w:bCs/>
          <w:sz w:val="20"/>
          <w:szCs w:val="24"/>
          <w:lang w:eastAsia="pt-BR"/>
        </w:rPr>
        <w:t xml:space="preserve"> </w:t>
      </w:r>
      <w:r w:rsidRPr="00431541">
        <w:rPr>
          <w:rFonts w:eastAsia="Times New Roman" w:cs="Times New Roman"/>
          <w:bCs/>
          <w:sz w:val="20"/>
          <w:szCs w:val="24"/>
          <w:lang w:eastAsia="pt-BR"/>
        </w:rPr>
        <w:t>(</w:t>
      </w:r>
      <w:proofErr w:type="spellStart"/>
      <w:r w:rsidRPr="00431541">
        <w:rPr>
          <w:rFonts w:eastAsia="Times New Roman" w:cs="Times New Roman"/>
          <w:bCs/>
          <w:sz w:val="20"/>
          <w:szCs w:val="24"/>
          <w:lang w:eastAsia="pt-BR"/>
        </w:rPr>
        <w:t>REsp</w:t>
      </w:r>
      <w:proofErr w:type="spellEnd"/>
      <w:r w:rsidRPr="00431541">
        <w:rPr>
          <w:rFonts w:eastAsia="Times New Roman" w:cs="Times New Roman"/>
          <w:bCs/>
          <w:sz w:val="20"/>
          <w:szCs w:val="24"/>
          <w:lang w:eastAsia="pt-BR"/>
        </w:rPr>
        <w:t xml:space="preserve"> n. 1.957.218/MG, relator Ministro Olindo Menezes (Desembargador Convocado do TRF 1ª Região), Sexta Turma, julgado em 23/8/2022, </w:t>
      </w:r>
      <w:proofErr w:type="spellStart"/>
      <w:r w:rsidRPr="00431541">
        <w:rPr>
          <w:rFonts w:eastAsia="Times New Roman" w:cs="Times New Roman"/>
          <w:bCs/>
          <w:sz w:val="20"/>
          <w:szCs w:val="24"/>
          <w:lang w:eastAsia="pt-BR"/>
        </w:rPr>
        <w:t>DJe</w:t>
      </w:r>
      <w:proofErr w:type="spellEnd"/>
      <w:r w:rsidRPr="00431541">
        <w:rPr>
          <w:rFonts w:eastAsia="Times New Roman" w:cs="Times New Roman"/>
          <w:bCs/>
          <w:sz w:val="20"/>
          <w:szCs w:val="24"/>
          <w:lang w:eastAsia="pt-BR"/>
        </w:rPr>
        <w:t xml:space="preserve"> de 30/8/2022.)</w:t>
      </w:r>
      <w:r>
        <w:rPr>
          <w:rFonts w:eastAsia="Times New Roman" w:cs="Times New Roman"/>
          <w:bCs/>
          <w:sz w:val="20"/>
          <w:szCs w:val="24"/>
          <w:lang w:eastAsia="pt-BR"/>
        </w:rPr>
        <w:t>.</w:t>
      </w:r>
    </w:p>
    <w:p w:rsidR="00CD2428" w:rsidRDefault="00CD2428" w:rsidP="00CD2428">
      <w:pPr>
        <w:spacing w:before="240"/>
        <w:rPr>
          <w:rFonts w:eastAsia="Times New Roman" w:cs="Times New Roman"/>
          <w:bCs/>
          <w:szCs w:val="24"/>
          <w:lang w:eastAsia="pt-BR"/>
        </w:rPr>
      </w:pPr>
      <w:r>
        <w:rPr>
          <w:rFonts w:eastAsia="Times New Roman" w:cs="Times New Roman"/>
          <w:bCs/>
          <w:szCs w:val="24"/>
          <w:lang w:eastAsia="pt-BR"/>
        </w:rPr>
        <w:t>Sobre o tema, esta</w:t>
      </w:r>
      <w:r>
        <w:rPr>
          <w:rFonts w:eastAsia="Times New Roman" w:cs="Times New Roman"/>
          <w:bCs/>
          <w:szCs w:val="24"/>
          <w:lang w:eastAsia="pt-BR"/>
        </w:rPr>
        <w:t xml:space="preserve"> Corte Paranaense sedimento</w:t>
      </w:r>
      <w:r>
        <w:rPr>
          <w:rFonts w:eastAsia="Times New Roman" w:cs="Times New Roman"/>
          <w:bCs/>
          <w:szCs w:val="24"/>
          <w:lang w:eastAsia="pt-BR"/>
        </w:rPr>
        <w:t>u</w:t>
      </w:r>
      <w:r>
        <w:rPr>
          <w:rFonts w:eastAsia="Times New Roman" w:cs="Times New Roman"/>
          <w:bCs/>
          <w:szCs w:val="24"/>
          <w:lang w:eastAsia="pt-BR"/>
        </w:rPr>
        <w:t xml:space="preserve"> entendimento no sentido </w:t>
      </w:r>
      <w:r>
        <w:rPr>
          <w:rFonts w:eastAsia="Times New Roman" w:cs="Times New Roman"/>
          <w:bCs/>
          <w:szCs w:val="24"/>
          <w:lang w:eastAsia="pt-BR"/>
        </w:rPr>
        <w:t xml:space="preserve">de que, sendo superior a 10% (dez por cento) do salário mínimo vigente ao tempo do fato, </w:t>
      </w:r>
      <w:r w:rsidR="001C6895">
        <w:rPr>
          <w:rFonts w:eastAsia="Times New Roman" w:cs="Times New Roman"/>
          <w:bCs/>
          <w:szCs w:val="24"/>
          <w:lang w:eastAsia="pt-BR"/>
        </w:rPr>
        <w:t>a expressividade de lesão ao patrimônio da vítima impede o reconhecimento da atipicidade material.</w:t>
      </w:r>
    </w:p>
    <w:p w:rsidR="00CD2428" w:rsidRPr="00334BAE" w:rsidRDefault="001C6895" w:rsidP="00CD2428">
      <w:pPr>
        <w:spacing w:before="240"/>
        <w:rPr>
          <w:rFonts w:eastAsia="Times New Roman" w:cs="Times New Roman"/>
          <w:bCs/>
          <w:szCs w:val="24"/>
          <w:lang w:eastAsia="pt-BR"/>
        </w:rPr>
      </w:pPr>
      <w:r>
        <w:rPr>
          <w:rFonts w:eastAsia="Times New Roman" w:cs="Times New Roman"/>
          <w:bCs/>
          <w:szCs w:val="24"/>
          <w:lang w:eastAsia="pt-BR"/>
        </w:rPr>
        <w:t>A propósito:</w:t>
      </w:r>
    </w:p>
    <w:p w:rsidR="00CD2428" w:rsidRPr="00334BAE" w:rsidRDefault="00CD2428" w:rsidP="001C6895">
      <w:pPr>
        <w:spacing w:before="600" w:after="600"/>
        <w:ind w:left="2268" w:firstLine="0"/>
        <w:rPr>
          <w:rFonts w:eastAsia="Times New Roman" w:cs="Times New Roman"/>
          <w:bCs/>
          <w:sz w:val="20"/>
          <w:szCs w:val="24"/>
          <w:lang w:eastAsia="pt-BR"/>
        </w:rPr>
      </w:pPr>
      <w:r w:rsidRPr="00334BAE">
        <w:rPr>
          <w:rFonts w:eastAsia="Times New Roman" w:cs="Times New Roman"/>
          <w:bCs/>
          <w:sz w:val="20"/>
          <w:szCs w:val="24"/>
          <w:lang w:eastAsia="pt-BR"/>
        </w:rPr>
        <w:t xml:space="preserve">FURTO SIMPLES (ART. 155, CAPUT, DO CÓDIGO PENAL) E FALSA IDENTIDADE (ART. 307 DO CÓDIGO PENAL). SENTENÇA PARCIALMENTE PROCEDENTE. RECURSO DO RÉU E DO MINISTÉRIO PÚBLICO. </w:t>
      </w:r>
      <w:proofErr w:type="gramStart"/>
      <w:r w:rsidRPr="00334BAE">
        <w:rPr>
          <w:rFonts w:eastAsia="Times New Roman" w:cs="Times New Roman"/>
          <w:bCs/>
          <w:sz w:val="20"/>
          <w:szCs w:val="24"/>
          <w:lang w:eastAsia="pt-BR"/>
        </w:rPr>
        <w:t>1)-</w:t>
      </w:r>
      <w:proofErr w:type="gramEnd"/>
      <w:r w:rsidRPr="00334BAE">
        <w:rPr>
          <w:rFonts w:eastAsia="Times New Roman" w:cs="Times New Roman"/>
          <w:bCs/>
          <w:sz w:val="20"/>
          <w:szCs w:val="24"/>
          <w:lang w:eastAsia="pt-BR"/>
        </w:rPr>
        <w:t xml:space="preserve"> (APELO 01 – RÉU). PLEITO DE APLICAÇÃO DA ATENUANTE DA CONFISSÃO ESPONTÂNEA. MEDIDA JÁ ADOTADA NA SENTENÇA. AUSENTE O INTERESSE DE AGIR. NÃO CONHECIMENTO. </w:t>
      </w:r>
      <w:proofErr w:type="gramStart"/>
      <w:r w:rsidRPr="00334BAE">
        <w:rPr>
          <w:rFonts w:eastAsia="Times New Roman" w:cs="Times New Roman"/>
          <w:bCs/>
          <w:sz w:val="20"/>
          <w:szCs w:val="24"/>
          <w:lang w:eastAsia="pt-BR"/>
        </w:rPr>
        <w:t>2)-</w:t>
      </w:r>
      <w:proofErr w:type="gramEnd"/>
      <w:r w:rsidRPr="00334BAE">
        <w:rPr>
          <w:rFonts w:eastAsia="Times New Roman" w:cs="Times New Roman"/>
          <w:bCs/>
          <w:sz w:val="20"/>
          <w:szCs w:val="24"/>
          <w:lang w:eastAsia="pt-BR"/>
        </w:rPr>
        <w:t xml:space="preserve"> (APELO 01 – RÉU). PLEITO DE ABSOLVIÇÃO QUANTO AO FURTO. </w:t>
      </w:r>
      <w:proofErr w:type="gramStart"/>
      <w:r w:rsidRPr="00334BAE">
        <w:rPr>
          <w:rFonts w:eastAsia="Times New Roman" w:cs="Times New Roman"/>
          <w:bCs/>
          <w:sz w:val="20"/>
          <w:szCs w:val="24"/>
          <w:lang w:eastAsia="pt-BR"/>
        </w:rPr>
        <w:t>a</w:t>
      </w:r>
      <w:r w:rsidRPr="00334BAE">
        <w:rPr>
          <w:rFonts w:eastAsia="Times New Roman" w:cs="Times New Roman"/>
          <w:b/>
          <w:bCs/>
          <w:sz w:val="20"/>
          <w:szCs w:val="24"/>
          <w:lang w:eastAsia="pt-BR"/>
        </w:rPr>
        <w:t>)-</w:t>
      </w:r>
      <w:proofErr w:type="gramEnd"/>
      <w:r w:rsidRPr="00334BAE">
        <w:rPr>
          <w:rFonts w:eastAsia="Times New Roman" w:cs="Times New Roman"/>
          <w:b/>
          <w:bCs/>
          <w:sz w:val="20"/>
          <w:szCs w:val="24"/>
          <w:lang w:eastAsia="pt-BR"/>
        </w:rPr>
        <w:t xml:space="preserve"> PRINCÍPIO DA INSIGNIFICÂNCIA. NÃO ACOLHIMENTO. INEXPRESSIVIDADE DA LESÃO JURÍDICA NÃO EVIDENCIADA. VALOR DA RES FURTIVA SUPERIOR A 10% DO SALÁRIO MÍNIMO VIGENTE À ÉPOCA DOS FATOS</w:t>
      </w:r>
      <w:r w:rsidRPr="00334BAE">
        <w:rPr>
          <w:rFonts w:eastAsia="Times New Roman" w:cs="Times New Roman"/>
          <w:bCs/>
          <w:sz w:val="20"/>
          <w:szCs w:val="24"/>
          <w:lang w:eastAsia="pt-BR"/>
        </w:rPr>
        <w:t xml:space="preserve">. RÉU REINCIDENTE. PRESENTE A TIPICIDADE MATERIAL. </w:t>
      </w:r>
      <w:proofErr w:type="gramStart"/>
      <w:r w:rsidRPr="00334BAE">
        <w:rPr>
          <w:rFonts w:eastAsia="Times New Roman" w:cs="Times New Roman"/>
          <w:bCs/>
          <w:sz w:val="20"/>
          <w:szCs w:val="24"/>
          <w:lang w:eastAsia="pt-BR"/>
        </w:rPr>
        <w:t>b)-</w:t>
      </w:r>
      <w:proofErr w:type="gramEnd"/>
      <w:r w:rsidRPr="00334BAE">
        <w:rPr>
          <w:rFonts w:eastAsia="Times New Roman" w:cs="Times New Roman"/>
          <w:bCs/>
          <w:sz w:val="20"/>
          <w:szCs w:val="24"/>
          <w:lang w:eastAsia="pt-BR"/>
        </w:rPr>
        <w:t xml:space="preserve"> PRETENSÃO DE RECONHECIMENTO DO ESTADO DE NECESSIDADE. TESE AFASTADA. AUSÊNCIA DE PROVAS PARA A INCIDÊNCIA DA JUSTIFICANTE. ESTADO DE NECESSIDADE NÃO CONFIGURADO. CONDENAÇÃO MANTIDA. </w:t>
      </w:r>
      <w:proofErr w:type="gramStart"/>
      <w:r w:rsidRPr="00334BAE">
        <w:rPr>
          <w:rFonts w:eastAsia="Times New Roman" w:cs="Times New Roman"/>
          <w:bCs/>
          <w:sz w:val="20"/>
          <w:szCs w:val="24"/>
          <w:lang w:eastAsia="pt-BR"/>
        </w:rPr>
        <w:t>3)-</w:t>
      </w:r>
      <w:proofErr w:type="gramEnd"/>
      <w:r w:rsidRPr="00334BAE">
        <w:rPr>
          <w:rFonts w:eastAsia="Times New Roman" w:cs="Times New Roman"/>
          <w:bCs/>
          <w:sz w:val="20"/>
          <w:szCs w:val="24"/>
          <w:lang w:eastAsia="pt-BR"/>
        </w:rPr>
        <w:t xml:space="preserve"> (APELO 02 – MP). </w:t>
      </w:r>
      <w:proofErr w:type="gramStart"/>
      <w:r w:rsidRPr="00334BAE">
        <w:rPr>
          <w:rFonts w:eastAsia="Times New Roman" w:cs="Times New Roman"/>
          <w:bCs/>
          <w:sz w:val="20"/>
          <w:szCs w:val="24"/>
          <w:lang w:eastAsia="pt-BR"/>
        </w:rPr>
        <w:t>a)-</w:t>
      </w:r>
      <w:proofErr w:type="gramEnd"/>
      <w:r w:rsidRPr="00334BAE">
        <w:rPr>
          <w:rFonts w:eastAsia="Times New Roman" w:cs="Times New Roman"/>
          <w:bCs/>
          <w:sz w:val="20"/>
          <w:szCs w:val="24"/>
          <w:lang w:eastAsia="pt-BR"/>
        </w:rPr>
        <w:t xml:space="preserve"> PLEITO DE CONDENAÇÃO PELO DELITO DE FALSA IDENTIDADE (FATO 02). PROVIMENTO. CONDUTA TÍPICA. DELITO DE NATUREZA FORMAL. AUSÊNCIA DE PROVEITO PRÓPRIO IRRELEVANTE. CRIME CONFIGURADO. CONDENAÇÃO QUE SE IMPÕE. </w:t>
      </w:r>
      <w:proofErr w:type="gramStart"/>
      <w:r w:rsidRPr="00334BAE">
        <w:rPr>
          <w:rFonts w:eastAsia="Times New Roman" w:cs="Times New Roman"/>
          <w:bCs/>
          <w:sz w:val="20"/>
          <w:szCs w:val="24"/>
          <w:lang w:eastAsia="pt-BR"/>
        </w:rPr>
        <w:t>b)-</w:t>
      </w:r>
      <w:proofErr w:type="gramEnd"/>
      <w:r w:rsidRPr="00334BAE">
        <w:rPr>
          <w:rFonts w:eastAsia="Times New Roman" w:cs="Times New Roman"/>
          <w:bCs/>
          <w:sz w:val="20"/>
          <w:szCs w:val="24"/>
          <w:lang w:eastAsia="pt-BR"/>
        </w:rPr>
        <w:t xml:space="preserve"> PEDIDO DE RECONHECIMENTO DA QUALIFICADORA DE ESCALADA QUANTO AO CRIME DE FURTO. ACOLHIMENTO. CIRCUNSTÂNCIA COMPROVADA PELA PALAVRA DOS POLICIAIS. ESFORÇO FÍSICO ACIMA DO COMUM. </w:t>
      </w:r>
      <w:proofErr w:type="spellStart"/>
      <w:r w:rsidRPr="00334BAE">
        <w:rPr>
          <w:rFonts w:eastAsia="Times New Roman" w:cs="Times New Roman"/>
          <w:bCs/>
          <w:sz w:val="20"/>
          <w:szCs w:val="24"/>
          <w:lang w:eastAsia="pt-BR"/>
        </w:rPr>
        <w:t>PRESCINDIBILIDADE</w:t>
      </w:r>
      <w:proofErr w:type="spellEnd"/>
      <w:r w:rsidRPr="00334BAE">
        <w:rPr>
          <w:rFonts w:eastAsia="Times New Roman" w:cs="Times New Roman"/>
          <w:bCs/>
          <w:sz w:val="20"/>
          <w:szCs w:val="24"/>
          <w:lang w:eastAsia="pt-BR"/>
        </w:rPr>
        <w:t xml:space="preserve"> DE LAUDO TÉCNICO SUPRIDO POR OUTROS MEIOS PROBATÓRIOS. PRECEDENTES. QUALIFICADORA RECONHECIDA. PENA DO ACUSADO READEQUADA. </w:t>
      </w:r>
      <w:proofErr w:type="gramStart"/>
      <w:r w:rsidRPr="00334BAE">
        <w:rPr>
          <w:rFonts w:eastAsia="Times New Roman" w:cs="Times New Roman"/>
          <w:bCs/>
          <w:sz w:val="20"/>
          <w:szCs w:val="24"/>
          <w:lang w:eastAsia="pt-BR"/>
        </w:rPr>
        <w:t>4)-</w:t>
      </w:r>
      <w:proofErr w:type="gramEnd"/>
      <w:r w:rsidRPr="00334BAE">
        <w:rPr>
          <w:rFonts w:eastAsia="Times New Roman" w:cs="Times New Roman"/>
          <w:bCs/>
          <w:sz w:val="20"/>
          <w:szCs w:val="24"/>
          <w:lang w:eastAsia="pt-BR"/>
        </w:rPr>
        <w:t xml:space="preserve"> PENA (APELO 01 – RÉU). PLEITO DE FIXAÇÃO DA BASILAR NO MÍNIMO LEGAL. DESPROVIMENTO. CIRCUNSTÂNCIAS NEGATIVAS. DELITO PRATICADO CONTRA PATRIMÔNIO DO ESTADO. REPROVABILIDADE ACENTUADA. PENA-BASE MANTIDA. </w:t>
      </w:r>
      <w:proofErr w:type="gramStart"/>
      <w:r w:rsidRPr="00334BAE">
        <w:rPr>
          <w:rFonts w:eastAsia="Times New Roman" w:cs="Times New Roman"/>
          <w:bCs/>
          <w:sz w:val="20"/>
          <w:szCs w:val="24"/>
          <w:lang w:eastAsia="pt-BR"/>
        </w:rPr>
        <w:t>5)-</w:t>
      </w:r>
      <w:proofErr w:type="gramEnd"/>
      <w:r w:rsidRPr="00334BAE">
        <w:rPr>
          <w:rFonts w:eastAsia="Times New Roman" w:cs="Times New Roman"/>
          <w:bCs/>
          <w:sz w:val="20"/>
          <w:szCs w:val="24"/>
          <w:lang w:eastAsia="pt-BR"/>
        </w:rPr>
        <w:t xml:space="preserve"> REGIME INICIAL. PRETENSÃO DE ABRANDAMENTO (APELO 01 – RÉU). TESE NÃO ACOLHIDA. RÉU REINCIDENTE COM CIRCUNSTÂNCIAS JUDICIAIS NEGATIVAS. REGIME INICIAL FECHADO ESCORREITO. </w:t>
      </w:r>
      <w:proofErr w:type="gramStart"/>
      <w:r w:rsidRPr="00334BAE">
        <w:rPr>
          <w:rFonts w:eastAsia="Times New Roman" w:cs="Times New Roman"/>
          <w:bCs/>
          <w:sz w:val="20"/>
          <w:szCs w:val="24"/>
          <w:lang w:eastAsia="pt-BR"/>
        </w:rPr>
        <w:t>6)-</w:t>
      </w:r>
      <w:proofErr w:type="gramEnd"/>
      <w:r w:rsidRPr="00334BAE">
        <w:rPr>
          <w:rFonts w:eastAsia="Times New Roman" w:cs="Times New Roman"/>
          <w:bCs/>
          <w:sz w:val="20"/>
          <w:szCs w:val="24"/>
          <w:lang w:eastAsia="pt-BR"/>
        </w:rPr>
        <w:t xml:space="preserve"> (APELO 01 - RÉU) HONORÁRIOS ADVOCATÍCIOS. FIXAÇÃO PELA ATUAÇÃO DO DEFENSOR DATIVO EM FASE RECURSAL. REMUNERAÇÃO ESTABELECIDA COM FULCRO EM TABELA PREVISTA NA RESOLUÇÃO CONJUNTA Nº 015/2019 – </w:t>
      </w:r>
      <w:proofErr w:type="spellStart"/>
      <w:r w:rsidRPr="00334BAE">
        <w:rPr>
          <w:rFonts w:eastAsia="Times New Roman" w:cs="Times New Roman"/>
          <w:bCs/>
          <w:sz w:val="20"/>
          <w:szCs w:val="24"/>
          <w:lang w:eastAsia="pt-BR"/>
        </w:rPr>
        <w:t>PGE</w:t>
      </w:r>
      <w:proofErr w:type="spellEnd"/>
      <w:r w:rsidRPr="00334BAE">
        <w:rPr>
          <w:rFonts w:eastAsia="Times New Roman" w:cs="Times New Roman"/>
          <w:bCs/>
          <w:sz w:val="20"/>
          <w:szCs w:val="24"/>
          <w:lang w:eastAsia="pt-BR"/>
        </w:rPr>
        <w:t>/</w:t>
      </w:r>
      <w:proofErr w:type="spellStart"/>
      <w:r w:rsidRPr="00334BAE">
        <w:rPr>
          <w:rFonts w:eastAsia="Times New Roman" w:cs="Times New Roman"/>
          <w:bCs/>
          <w:sz w:val="20"/>
          <w:szCs w:val="24"/>
          <w:lang w:eastAsia="pt-BR"/>
        </w:rPr>
        <w:t>SEFAAPELO</w:t>
      </w:r>
      <w:proofErr w:type="spellEnd"/>
      <w:r w:rsidRPr="00334BAE">
        <w:rPr>
          <w:rFonts w:eastAsia="Times New Roman" w:cs="Times New Roman"/>
          <w:bCs/>
          <w:sz w:val="20"/>
          <w:szCs w:val="24"/>
          <w:lang w:eastAsia="pt-BR"/>
        </w:rPr>
        <w:t xml:space="preserve"> 01 (RÉU) PARCIALMENTE CONHECIDO E DESPROVIDO, COM FIXAÇÃO DE VERBA </w:t>
      </w:r>
      <w:proofErr w:type="spellStart"/>
      <w:r w:rsidRPr="00334BAE">
        <w:rPr>
          <w:rFonts w:eastAsia="Times New Roman" w:cs="Times New Roman"/>
          <w:bCs/>
          <w:sz w:val="20"/>
          <w:szCs w:val="24"/>
          <w:lang w:eastAsia="pt-BR"/>
        </w:rPr>
        <w:t>HONORÁRIA.APELO</w:t>
      </w:r>
      <w:proofErr w:type="spellEnd"/>
      <w:r w:rsidRPr="00334BAE">
        <w:rPr>
          <w:rFonts w:eastAsia="Times New Roman" w:cs="Times New Roman"/>
          <w:bCs/>
          <w:sz w:val="20"/>
          <w:szCs w:val="24"/>
          <w:lang w:eastAsia="pt-BR"/>
        </w:rPr>
        <w:t xml:space="preserve"> 02 (MP) CONHECIDO E PROVIDO.</w:t>
      </w:r>
      <w:r>
        <w:rPr>
          <w:rFonts w:eastAsia="Times New Roman" w:cs="Times New Roman"/>
          <w:bCs/>
          <w:sz w:val="20"/>
          <w:szCs w:val="24"/>
          <w:lang w:eastAsia="pt-BR"/>
        </w:rPr>
        <w:t xml:space="preserve"> </w:t>
      </w:r>
      <w:r w:rsidRPr="00334BAE">
        <w:rPr>
          <w:rFonts w:eastAsia="Times New Roman" w:cs="Times New Roman"/>
          <w:bCs/>
          <w:sz w:val="20"/>
          <w:szCs w:val="24"/>
          <w:lang w:eastAsia="pt-BR"/>
        </w:rPr>
        <w:t>(</w:t>
      </w:r>
      <w:proofErr w:type="spellStart"/>
      <w:r w:rsidRPr="00334BAE">
        <w:rPr>
          <w:rFonts w:eastAsia="Times New Roman" w:cs="Times New Roman"/>
          <w:bCs/>
          <w:sz w:val="20"/>
          <w:szCs w:val="24"/>
          <w:lang w:eastAsia="pt-BR"/>
        </w:rPr>
        <w:t>TJPR</w:t>
      </w:r>
      <w:proofErr w:type="spellEnd"/>
      <w:r w:rsidRPr="00334BAE">
        <w:rPr>
          <w:rFonts w:eastAsia="Times New Roman" w:cs="Times New Roman"/>
          <w:bCs/>
          <w:sz w:val="20"/>
          <w:szCs w:val="24"/>
          <w:lang w:eastAsia="pt-BR"/>
        </w:rPr>
        <w:t xml:space="preserve"> - 4ª Câmara Criminal - 0012663-91.2023.8.16.0021 - Cascavel -  Rel.: DESEMBARGADORA SONIA REGINA DE CASTRO -  J. 30.10.2023)</w:t>
      </w:r>
      <w:r w:rsidR="001C6895">
        <w:rPr>
          <w:rFonts w:eastAsia="Times New Roman" w:cs="Times New Roman"/>
          <w:bCs/>
          <w:sz w:val="20"/>
          <w:szCs w:val="24"/>
          <w:lang w:eastAsia="pt-BR"/>
        </w:rPr>
        <w:t>.</w:t>
      </w:r>
    </w:p>
    <w:p w:rsidR="001C6895" w:rsidRDefault="00CD2428" w:rsidP="00CD2428">
      <w:pPr>
        <w:spacing w:before="240"/>
        <w:rPr>
          <w:rFonts w:eastAsia="Times New Roman" w:cs="Times New Roman"/>
          <w:bCs/>
          <w:szCs w:val="24"/>
          <w:lang w:eastAsia="pt-BR"/>
        </w:rPr>
      </w:pPr>
      <w:r>
        <w:rPr>
          <w:rFonts w:eastAsia="Times New Roman" w:cs="Times New Roman"/>
          <w:bCs/>
          <w:szCs w:val="24"/>
          <w:lang w:eastAsia="pt-BR"/>
        </w:rPr>
        <w:t xml:space="preserve">No caso concreto, os produtos furtados, avaliados em R$ </w:t>
      </w:r>
      <w:r w:rsidR="001C6895">
        <w:rPr>
          <w:rFonts w:eastAsia="Times New Roman" w:cs="Times New Roman"/>
          <w:bCs/>
          <w:szCs w:val="24"/>
          <w:lang w:eastAsia="pt-BR"/>
        </w:rPr>
        <w:t>395,59 (trezentos e noventa e cinco reais e cinquenta e nove centavos), valor muito superior ao sobredito referencial monetário.</w:t>
      </w:r>
    </w:p>
    <w:p w:rsidR="001C6895" w:rsidRDefault="00CD2428" w:rsidP="00CD2428">
      <w:pPr>
        <w:spacing w:before="240"/>
        <w:rPr>
          <w:rFonts w:eastAsia="Times New Roman" w:cs="Times New Roman"/>
          <w:bCs/>
          <w:szCs w:val="24"/>
          <w:lang w:eastAsia="pt-BR"/>
        </w:rPr>
      </w:pPr>
      <w:r>
        <w:rPr>
          <w:rFonts w:eastAsia="Times New Roman" w:cs="Times New Roman"/>
          <w:bCs/>
          <w:szCs w:val="24"/>
          <w:lang w:eastAsia="pt-BR"/>
        </w:rPr>
        <w:t xml:space="preserve">Ademais, </w:t>
      </w:r>
      <w:r w:rsidR="001C6895">
        <w:rPr>
          <w:rFonts w:eastAsia="Times New Roman" w:cs="Times New Roman"/>
          <w:bCs/>
          <w:szCs w:val="24"/>
          <w:lang w:eastAsia="pt-BR"/>
        </w:rPr>
        <w:t>a imputada ostenta diversas condenações anteriores pelo crime de furto (evento 50.1 – autos de origem), indicativo concreto de habitualidade na prática de infrações penais contra o patrimônio que atesta a elevada reprovabilidade social de sua conduta e, como consequência, caracteriza a tipicidade do crime em sua dimensão material.</w:t>
      </w:r>
    </w:p>
    <w:p w:rsidR="00CD2428" w:rsidRDefault="001C6895" w:rsidP="00CD2428">
      <w:pPr>
        <w:spacing w:before="240"/>
        <w:rPr>
          <w:rFonts w:eastAsia="Times New Roman" w:cs="Times New Roman"/>
          <w:bCs/>
          <w:szCs w:val="24"/>
          <w:lang w:eastAsia="pt-BR"/>
        </w:rPr>
      </w:pPr>
      <w:r>
        <w:rPr>
          <w:rFonts w:eastAsia="Times New Roman" w:cs="Times New Roman"/>
          <w:bCs/>
          <w:szCs w:val="24"/>
          <w:lang w:eastAsia="pt-BR"/>
        </w:rPr>
        <w:t>Sobre o tema</w:t>
      </w:r>
      <w:r w:rsidR="00CD2428">
        <w:rPr>
          <w:rFonts w:eastAsia="Times New Roman" w:cs="Times New Roman"/>
          <w:bCs/>
          <w:szCs w:val="24"/>
          <w:lang w:eastAsia="pt-BR"/>
        </w:rPr>
        <w:t>:</w:t>
      </w:r>
    </w:p>
    <w:p w:rsidR="00CD2428" w:rsidRPr="00431541" w:rsidRDefault="00CD2428" w:rsidP="001C6895">
      <w:pPr>
        <w:spacing w:before="600" w:after="600"/>
        <w:ind w:left="2268" w:firstLine="0"/>
        <w:rPr>
          <w:rFonts w:eastAsia="Times New Roman" w:cs="Times New Roman"/>
          <w:bCs/>
          <w:sz w:val="20"/>
          <w:szCs w:val="24"/>
          <w:lang w:eastAsia="pt-BR"/>
        </w:rPr>
      </w:pPr>
      <w:r w:rsidRPr="00431541">
        <w:rPr>
          <w:rFonts w:eastAsia="Times New Roman" w:cs="Times New Roman"/>
          <w:bCs/>
          <w:sz w:val="20"/>
          <w:szCs w:val="24"/>
          <w:lang w:eastAsia="pt-BR"/>
        </w:rPr>
        <w:t xml:space="preserve">APELAÇÃO CRIME – FURTO QUALIFICADO (CP, ART. 155, §1º E 4º, INC. II E </w:t>
      </w:r>
      <w:proofErr w:type="spellStart"/>
      <w:r w:rsidRPr="00431541">
        <w:rPr>
          <w:rFonts w:eastAsia="Times New Roman" w:cs="Times New Roman"/>
          <w:bCs/>
          <w:sz w:val="20"/>
          <w:szCs w:val="24"/>
          <w:lang w:eastAsia="pt-BR"/>
        </w:rPr>
        <w:t>IV</w:t>
      </w:r>
      <w:proofErr w:type="spellEnd"/>
      <w:r w:rsidRPr="00431541">
        <w:rPr>
          <w:rFonts w:eastAsia="Times New Roman" w:cs="Times New Roman"/>
          <w:bCs/>
          <w:sz w:val="20"/>
          <w:szCs w:val="24"/>
          <w:lang w:eastAsia="pt-BR"/>
        </w:rPr>
        <w:t xml:space="preserve">) – ABSOLVIÇÃO SUMÁRIA, POR ATIPICIDADE MATERIAL DA CONDUTA (CPP, ART. 397, </w:t>
      </w:r>
      <w:proofErr w:type="spellStart"/>
      <w:r w:rsidRPr="00431541">
        <w:rPr>
          <w:rFonts w:eastAsia="Times New Roman" w:cs="Times New Roman"/>
          <w:bCs/>
          <w:sz w:val="20"/>
          <w:szCs w:val="24"/>
          <w:lang w:eastAsia="pt-BR"/>
        </w:rPr>
        <w:t>III</w:t>
      </w:r>
      <w:proofErr w:type="spellEnd"/>
      <w:r w:rsidRPr="00431541">
        <w:rPr>
          <w:rFonts w:eastAsia="Times New Roman" w:cs="Times New Roman"/>
          <w:bCs/>
          <w:sz w:val="20"/>
          <w:szCs w:val="24"/>
          <w:lang w:eastAsia="pt-BR"/>
        </w:rPr>
        <w:t>) – RECURSO DO MINISTÉRIO PÚBLICO. PEDIDO DE REFORMA DA SENTENÇA PARA AFASTAR A CONCLUSÃO PELA INSIGNIFICÂNCIA – PROCEDÊNCIA – CRIME PRATICADO MEDIANTE ESCALADA E CONCURSO DE AGENTES E ANOTAÇÕES CRIMINAIS DA RÉ A INDICAR HABITUALIDADE DELITIVA – CONDUTA QUE NÃO PODE SER CONSIDERADA IRRELEVANTE. SENTENÇA CASSADA. RECURSO PROVIDO.</w:t>
      </w:r>
      <w:r>
        <w:rPr>
          <w:rFonts w:eastAsia="Times New Roman" w:cs="Times New Roman"/>
          <w:bCs/>
          <w:sz w:val="20"/>
          <w:szCs w:val="24"/>
          <w:lang w:eastAsia="pt-BR"/>
        </w:rPr>
        <w:t xml:space="preserve"> </w:t>
      </w:r>
      <w:r w:rsidRPr="00431541">
        <w:rPr>
          <w:rFonts w:eastAsia="Times New Roman" w:cs="Times New Roman"/>
          <w:bCs/>
          <w:sz w:val="20"/>
          <w:szCs w:val="24"/>
          <w:lang w:eastAsia="pt-BR"/>
        </w:rPr>
        <w:t>(</w:t>
      </w:r>
      <w:proofErr w:type="spellStart"/>
      <w:r w:rsidRPr="00431541">
        <w:rPr>
          <w:rFonts w:eastAsia="Times New Roman" w:cs="Times New Roman"/>
          <w:bCs/>
          <w:sz w:val="20"/>
          <w:szCs w:val="24"/>
          <w:lang w:eastAsia="pt-BR"/>
        </w:rPr>
        <w:t>TJPR</w:t>
      </w:r>
      <w:proofErr w:type="spellEnd"/>
      <w:r w:rsidRPr="00431541">
        <w:rPr>
          <w:rFonts w:eastAsia="Times New Roman" w:cs="Times New Roman"/>
          <w:bCs/>
          <w:sz w:val="20"/>
          <w:szCs w:val="24"/>
          <w:lang w:eastAsia="pt-BR"/>
        </w:rPr>
        <w:t xml:space="preserve"> - 4ª Câmara Criminal - 0001747-30.2023.8.16.0075 - Cornélio Procópio -  Rel.: DESEMBARGADOR RUI PORTUGAL </w:t>
      </w:r>
      <w:proofErr w:type="spellStart"/>
      <w:r w:rsidRPr="00431541">
        <w:rPr>
          <w:rFonts w:eastAsia="Times New Roman" w:cs="Times New Roman"/>
          <w:bCs/>
          <w:sz w:val="20"/>
          <w:szCs w:val="24"/>
          <w:lang w:eastAsia="pt-BR"/>
        </w:rPr>
        <w:t>BACELLAR</w:t>
      </w:r>
      <w:proofErr w:type="spellEnd"/>
      <w:r w:rsidRPr="00431541">
        <w:rPr>
          <w:rFonts w:eastAsia="Times New Roman" w:cs="Times New Roman"/>
          <w:bCs/>
          <w:sz w:val="20"/>
          <w:szCs w:val="24"/>
          <w:lang w:eastAsia="pt-BR"/>
        </w:rPr>
        <w:t xml:space="preserve"> FILHO -  J. 13.11.2023)</w:t>
      </w:r>
      <w:r w:rsidR="001C6895">
        <w:rPr>
          <w:rFonts w:eastAsia="Times New Roman" w:cs="Times New Roman"/>
          <w:bCs/>
          <w:sz w:val="20"/>
          <w:szCs w:val="24"/>
          <w:lang w:eastAsia="pt-BR"/>
        </w:rPr>
        <w:t>.</w:t>
      </w:r>
    </w:p>
    <w:p w:rsidR="001C6895" w:rsidRDefault="00CD2428" w:rsidP="00CD2428">
      <w:pPr>
        <w:spacing w:before="240"/>
        <w:rPr>
          <w:rFonts w:eastAsia="Times New Roman" w:cs="Times New Roman"/>
          <w:bCs/>
          <w:szCs w:val="24"/>
          <w:lang w:eastAsia="pt-BR"/>
        </w:rPr>
      </w:pPr>
      <w:r>
        <w:rPr>
          <w:rFonts w:eastAsia="Times New Roman" w:cs="Times New Roman"/>
          <w:bCs/>
          <w:szCs w:val="24"/>
          <w:lang w:eastAsia="pt-BR"/>
        </w:rPr>
        <w:t xml:space="preserve">Assim, assentada </w:t>
      </w:r>
      <w:r w:rsidR="001C6895">
        <w:rPr>
          <w:rFonts w:eastAsia="Times New Roman" w:cs="Times New Roman"/>
          <w:bCs/>
          <w:szCs w:val="24"/>
          <w:lang w:eastAsia="pt-BR"/>
        </w:rPr>
        <w:t xml:space="preserve">a </w:t>
      </w:r>
      <w:r>
        <w:rPr>
          <w:rFonts w:eastAsia="Times New Roman" w:cs="Times New Roman"/>
          <w:bCs/>
          <w:szCs w:val="24"/>
          <w:lang w:eastAsia="pt-BR"/>
        </w:rPr>
        <w:t>relevância da ofensa ao bem jurídico</w:t>
      </w:r>
      <w:r w:rsidR="001C6895">
        <w:rPr>
          <w:rFonts w:eastAsia="Times New Roman" w:cs="Times New Roman"/>
          <w:bCs/>
          <w:szCs w:val="24"/>
          <w:lang w:eastAsia="pt-BR"/>
        </w:rPr>
        <w:t xml:space="preserve"> e elevada reprovabilidade social da conduta, não se cogita, à luz dos critérios estabelecidos na jurisprudência, a aplicação do princípio da bagatela.</w:t>
      </w:r>
    </w:p>
    <w:p w:rsidR="006D3688" w:rsidRDefault="006D3688" w:rsidP="00877419">
      <w:pPr>
        <w:pStyle w:val="PargrafodaLista"/>
        <w:ind w:left="0"/>
        <w:contextualSpacing w:val="0"/>
      </w:pPr>
    </w:p>
    <w:p w:rsidR="006D3688" w:rsidRDefault="006D3688" w:rsidP="00877419">
      <w:pPr>
        <w:pStyle w:val="PargrafodaLista"/>
        <w:ind w:left="0"/>
        <w:contextualSpacing w:val="0"/>
      </w:pPr>
      <w:proofErr w:type="spellStart"/>
      <w:r>
        <w:t>II.III</w:t>
      </w:r>
      <w:proofErr w:type="spellEnd"/>
      <w:r>
        <w:t xml:space="preserve"> – DO CRIME DE FALSA IDENTIDADE (2º FATO)</w:t>
      </w:r>
    </w:p>
    <w:p w:rsidR="00600352" w:rsidRDefault="0054274D" w:rsidP="00600352">
      <w:pPr>
        <w:pStyle w:val="PargrafodaLista"/>
        <w:ind w:left="0"/>
        <w:contextualSpacing w:val="0"/>
      </w:pPr>
      <w:r>
        <w:t xml:space="preserve">Quanto ao crime de falsa identidade, as provas angariadas na fase judicial demonstram, de maneira insofismável, </w:t>
      </w:r>
      <w:r w:rsidR="00483BFA">
        <w:t>a prática da conduta prevista no preceito primário da norma penal incriminadora.</w:t>
      </w:r>
    </w:p>
    <w:p w:rsidR="00600352" w:rsidRDefault="00600352" w:rsidP="00600352">
      <w:pPr>
        <w:pStyle w:val="PargrafodaLista"/>
        <w:ind w:left="0"/>
        <w:contextualSpacing w:val="0"/>
      </w:pPr>
      <w:r>
        <w:t>Segundo depoimento judicial dos policiais militares, no momento da abordagem policial, identificou-se como Renata Costa Pedroso, para evitar identificação de mandado de prisão expedido em seu desfavor. Sua correta identificação somente foi possível quando familiares, que estavam a sua procura, anunciaram o nome correto (eventos 111.1 e 111.2 – autos de origem).</w:t>
      </w:r>
    </w:p>
    <w:p w:rsidR="00483BFA" w:rsidRDefault="00483BFA" w:rsidP="00600352">
      <w:pPr>
        <w:pStyle w:val="PargrafodaLista"/>
        <w:ind w:left="0"/>
        <w:contextualSpacing w:val="0"/>
      </w:pPr>
      <w:r>
        <w:t>Ao</w:t>
      </w:r>
      <w:r>
        <w:t xml:space="preserve"> contrário do invectivado no repto recursal, não houve retratação pela autora do delito a </w:t>
      </w:r>
      <w:r>
        <w:t>caracterizar</w:t>
      </w:r>
      <w:r>
        <w:t xml:space="preserve"> desistência voluntária ou arrependimento eficaz (CP, art. 15).</w:t>
      </w:r>
    </w:p>
    <w:p w:rsidR="00F450DD" w:rsidRDefault="00F450DD" w:rsidP="00F450DD">
      <w:pPr>
        <w:pStyle w:val="PargrafodaLista"/>
        <w:ind w:left="0"/>
        <w:contextualSpacing w:val="0"/>
      </w:pPr>
      <w:r>
        <w:t xml:space="preserve">Outrossim, o crime em questão possui natureza formal. </w:t>
      </w:r>
      <w:r w:rsidR="00483BFA">
        <w:t>Consume-se com simples conduta de atribuir-se falsa identidade, guiada pelo dolo específico de obtenção de vantagem.</w:t>
      </w:r>
      <w:r>
        <w:t xml:space="preserve"> Logo, a teor da Súmula 522, do Superior Tribunal de Justiça, a mera conduta de atribuir-se falsa identidade perante a autoridade policial é típica.</w:t>
      </w:r>
    </w:p>
    <w:p w:rsidR="00F450DD" w:rsidRDefault="00F450DD" w:rsidP="00F450DD">
      <w:pPr>
        <w:pStyle w:val="PargrafodaLista"/>
        <w:ind w:left="0"/>
        <w:contextualSpacing w:val="0"/>
      </w:pPr>
      <w:r>
        <w:t>Sobre o tema:</w:t>
      </w:r>
    </w:p>
    <w:p w:rsidR="00600352" w:rsidRPr="00483BFA" w:rsidRDefault="00483BFA" w:rsidP="00483BFA">
      <w:pPr>
        <w:pStyle w:val="PargrafodaLista"/>
        <w:spacing w:before="600" w:after="600"/>
        <w:ind w:left="2268" w:firstLine="0"/>
        <w:contextualSpacing w:val="0"/>
        <w:rPr>
          <w:sz w:val="20"/>
        </w:rPr>
      </w:pPr>
      <w:r w:rsidRPr="00483BFA">
        <w:rPr>
          <w:sz w:val="20"/>
        </w:rPr>
        <w:t xml:space="preserve">AGRAVO REGIMENTAL NO HABEAS CORPUS. FURTO QUALIFICADO POR ESCALADA E FALSA IDENTIDADE. PRETENSÃO DE ABSOLVIÇÃO. APLICAÇÃO DO PRINCÍPIO DA INSIGNIFICÂNCIA. INVIABILIDADE. REINCIDÊNCIA ESPECÍFICA EM CRIME CONTRA O PATRIMÔNIO, FURTO QUALIFICADO E CIRCUNSTÂNCIAS DO COMETIMENTO DO DELITO. FALSA IDENTIDADE. CRIME FORMAL. INDEPENDE DE RESULTADO NATURALÍSTICO. SITUAÇÃO DE AUTODEFESA. FATO TÍPICO. INCIDÊNCIA DO PRIVILÉGIO DO ART. 155, § 2º, DO CÓDIGO PENAL - CP. CIRCUNSTÂNCIAS DO DELITO JUSTIFICAM A SUBSTITUIÇÃO DA PENA DE RECLUSÃO PELA DE DETENÇÃO. AGRAVO REGIMENTAL DESPROVIDO. 1. No caso dos autos, a Corte Estadual concluiu pela inaplicabilidade do princípio da insignificância em razão de o recorrente ser reincidente específico em crime contra o patrimônio, pelo fato do furto ser qualificado pela escalada, bem como pelas circunstâncias do cometimento do delito, pois o réu invadiu os estabelecimentos comerciais das vítimas para cometer o furto. Tais justificativas encontram respaldo nesta Corte. Precedentes. </w:t>
      </w:r>
      <w:r w:rsidRPr="00F450DD">
        <w:rPr>
          <w:b/>
          <w:sz w:val="20"/>
        </w:rPr>
        <w:t>2. O crime de falsa identidade é formal, ou seja, consuma-se com a simples conduta de atribuir-se falsa identidade, apta a ocasionar o resultado jurídico do crime, sendo dispensável a ocorrência de resultado naturalístico, consistente na obtenção de vantagem para si ou para outrem ou de prejuízo a terceiros, ocorrendo inclusive em situação de autodefesa.</w:t>
      </w:r>
      <w:r w:rsidRPr="00483BFA">
        <w:rPr>
          <w:sz w:val="20"/>
        </w:rPr>
        <w:t xml:space="preserve"> 3. No caso, a Corte de origem acertadamente decidiu que, na aplicação do privilégio do art. 155, § 2º, do CP, diante das circunstâncias do cometimento do delito, com a prática do furto contra dois estabelecimentos comerciais e com emprego de escalada, a substituição da pena de reclusão pela de detenção era mais adequada. 4. Agravo regimental desprovido.</w:t>
      </w:r>
      <w:r>
        <w:rPr>
          <w:sz w:val="20"/>
        </w:rPr>
        <w:t xml:space="preserve"> </w:t>
      </w:r>
      <w:r w:rsidRPr="00483BFA">
        <w:rPr>
          <w:sz w:val="20"/>
        </w:rPr>
        <w:t xml:space="preserve">(STJ - </w:t>
      </w:r>
      <w:proofErr w:type="spellStart"/>
      <w:r w:rsidRPr="00483BFA">
        <w:rPr>
          <w:sz w:val="20"/>
        </w:rPr>
        <w:t>AgRg</w:t>
      </w:r>
      <w:proofErr w:type="spellEnd"/>
      <w:r w:rsidRPr="00483BFA">
        <w:rPr>
          <w:sz w:val="20"/>
        </w:rPr>
        <w:t xml:space="preserve"> no HC: 821195 SP 2023/0148635-9, Relator: Ministro JOEL ILAN </w:t>
      </w:r>
      <w:proofErr w:type="spellStart"/>
      <w:r w:rsidRPr="00483BFA">
        <w:rPr>
          <w:sz w:val="20"/>
        </w:rPr>
        <w:t>PACIORNIK</w:t>
      </w:r>
      <w:proofErr w:type="spellEnd"/>
      <w:r w:rsidRPr="00483BFA">
        <w:rPr>
          <w:sz w:val="20"/>
        </w:rPr>
        <w:t xml:space="preserve">, Data de Julgamento: 28/08/2023, </w:t>
      </w:r>
      <w:proofErr w:type="spellStart"/>
      <w:r w:rsidRPr="00483BFA">
        <w:rPr>
          <w:sz w:val="20"/>
        </w:rPr>
        <w:t>T5</w:t>
      </w:r>
      <w:proofErr w:type="spellEnd"/>
      <w:r w:rsidRPr="00483BFA">
        <w:rPr>
          <w:sz w:val="20"/>
        </w:rPr>
        <w:t xml:space="preserve"> - QUINTA TURMA, Data de Publicação: </w:t>
      </w:r>
      <w:proofErr w:type="spellStart"/>
      <w:r w:rsidRPr="00483BFA">
        <w:rPr>
          <w:sz w:val="20"/>
        </w:rPr>
        <w:t>DJe</w:t>
      </w:r>
      <w:proofErr w:type="spellEnd"/>
      <w:r w:rsidRPr="00483BFA">
        <w:rPr>
          <w:sz w:val="20"/>
        </w:rPr>
        <w:t xml:space="preserve"> 30/08/2023)</w:t>
      </w:r>
      <w:r>
        <w:rPr>
          <w:sz w:val="20"/>
        </w:rPr>
        <w:t>.</w:t>
      </w:r>
    </w:p>
    <w:p w:rsidR="006D3688" w:rsidRDefault="00F450DD" w:rsidP="00877419">
      <w:pPr>
        <w:pStyle w:val="PargrafodaLista"/>
        <w:ind w:left="0"/>
        <w:contextualSpacing w:val="0"/>
      </w:pPr>
      <w:r>
        <w:t>Afasta-se, pois, correlata pretensão absolutória.</w:t>
      </w:r>
    </w:p>
    <w:p w:rsidR="0054274D" w:rsidRDefault="0054274D" w:rsidP="00877419">
      <w:pPr>
        <w:pStyle w:val="PargrafodaLista"/>
        <w:ind w:left="0"/>
        <w:contextualSpacing w:val="0"/>
      </w:pPr>
    </w:p>
    <w:p w:rsidR="006D3688" w:rsidRDefault="006D3688" w:rsidP="00877419">
      <w:pPr>
        <w:pStyle w:val="PargrafodaLista"/>
        <w:ind w:left="0"/>
        <w:contextualSpacing w:val="0"/>
      </w:pPr>
      <w:bookmarkStart w:id="0" w:name="_GoBack"/>
      <w:bookmarkEnd w:id="0"/>
      <w:proofErr w:type="spellStart"/>
      <w:r>
        <w:t>II.IV</w:t>
      </w:r>
      <w:proofErr w:type="spellEnd"/>
      <w:r>
        <w:t xml:space="preserve"> – DA DOSIMETRIA</w:t>
      </w:r>
    </w:p>
    <w:p w:rsidR="00A4313C" w:rsidRDefault="001C6895" w:rsidP="001C6895">
      <w:pPr>
        <w:pStyle w:val="PargrafodaLista"/>
        <w:ind w:left="0"/>
        <w:contextualSpacing w:val="0"/>
      </w:pPr>
      <w:r>
        <w:t>No tocante à composição quantitativa</w:t>
      </w:r>
      <w:r w:rsidR="00A4313C">
        <w:t xml:space="preserve"> da pena, carece de plausibilidade jurídica a</w:t>
      </w:r>
      <w:r>
        <w:t xml:space="preserve"> alegação de que o cumprimento da pena </w:t>
      </w:r>
      <w:r w:rsidR="00A4313C">
        <w:t>por crime anterior, processado nos autos nº 0008904-11.2017.8.16.0028, obstaria valoração negativa como maus antecedentes.</w:t>
      </w:r>
    </w:p>
    <w:p w:rsidR="00A4313C" w:rsidRDefault="00A4313C" w:rsidP="001C6895">
      <w:pPr>
        <w:pStyle w:val="PargrafodaLista"/>
        <w:ind w:left="0"/>
        <w:contextualSpacing w:val="0"/>
      </w:pPr>
      <w:r>
        <w:t>Referida anotação, sequer foi considerada para fins de antecedentes. A sentença indicou, expressamente, a utilização do elemento para configuração da reincidência e consequente majoração da pena intermediária.</w:t>
      </w:r>
    </w:p>
    <w:p w:rsidR="00D100C2" w:rsidRDefault="00A4313C" w:rsidP="002B1371">
      <w:pPr>
        <w:pStyle w:val="PargrafodaLista"/>
        <w:ind w:left="0"/>
        <w:contextualSpacing w:val="0"/>
      </w:pPr>
      <w:r>
        <w:t xml:space="preserve">Ainda assim, a rigor do disposto no artigo 64, inciso I, do Código Penal, </w:t>
      </w:r>
      <w:r>
        <w:t>o mero cumprimento da pena pelo crime anterior não obsta</w:t>
      </w:r>
      <w:r>
        <w:t xml:space="preserve"> a configuração da reincidência.</w:t>
      </w:r>
      <w:r w:rsidR="002B1371">
        <w:t xml:space="preserve"> O afastamento da reincidência, no ponto, pressupõe o decurso do prazo legal de cinco anos, contados da extinção da pena.</w:t>
      </w:r>
    </w:p>
    <w:p w:rsidR="002B1371" w:rsidRDefault="002B1371" w:rsidP="002B1371">
      <w:pPr>
        <w:pStyle w:val="PargrafodaLista"/>
        <w:ind w:left="0"/>
        <w:contextualSpacing w:val="0"/>
      </w:pPr>
      <w:r>
        <w:t xml:space="preserve">Não decorrido, portanto, o período depurador </w:t>
      </w:r>
      <w:r w:rsidR="0054274D">
        <w:t>quinquenal, improcedente a pretensão reformatória.</w:t>
      </w:r>
    </w:p>
    <w:p w:rsidR="001C6895" w:rsidRDefault="001C6895" w:rsidP="00877419">
      <w:pPr>
        <w:pStyle w:val="PargrafodaLista"/>
        <w:ind w:left="0"/>
        <w:contextualSpacing w:val="0"/>
      </w:pPr>
    </w:p>
    <w:p w:rsidR="006D3688" w:rsidRDefault="006D3688" w:rsidP="00877419">
      <w:pPr>
        <w:pStyle w:val="PargrafodaLista"/>
        <w:ind w:left="0"/>
        <w:contextualSpacing w:val="0"/>
      </w:pPr>
      <w:proofErr w:type="spellStart"/>
      <w:r>
        <w:t>II.V</w:t>
      </w:r>
      <w:proofErr w:type="spellEnd"/>
      <w:r>
        <w:t xml:space="preserve"> – DA CONCLUSÃO</w:t>
      </w:r>
    </w:p>
    <w:p w:rsidR="006D3688" w:rsidRDefault="006D3688" w:rsidP="00877419">
      <w:pPr>
        <w:pStyle w:val="PargrafodaLista"/>
        <w:ind w:left="0"/>
        <w:contextualSpacing w:val="0"/>
      </w:pPr>
      <w:r>
        <w:t>Pela conjugação das premissas alinhavadas, a conclusão a ser adotada consiste no conhecimento e desprovimento do recurso.</w:t>
      </w:r>
    </w:p>
    <w:p w:rsidR="00AA28DF" w:rsidRDefault="006D3688" w:rsidP="00877419">
      <w:pPr>
        <w:pStyle w:val="PargrafodaLista"/>
        <w:ind w:left="0"/>
        <w:contextualSpacing w:val="0"/>
      </w:pPr>
      <w:r>
        <w:t>É como voto.</w:t>
      </w:r>
    </w:p>
    <w:p w:rsidR="00AA28DF" w:rsidRDefault="00AA28DF" w:rsidP="00877419">
      <w:pPr>
        <w:pStyle w:val="PargrafodaLista"/>
        <w:ind w:left="0"/>
        <w:contextualSpacing w:val="0"/>
      </w:pPr>
    </w:p>
    <w:p w:rsidR="00AA28DF" w:rsidRPr="00AA28DF" w:rsidRDefault="00877419" w:rsidP="00877419">
      <w:pPr>
        <w:pStyle w:val="PargrafodaLista"/>
        <w:ind w:left="0"/>
        <w:contextualSpacing w:val="0"/>
        <w:rPr>
          <w:b/>
        </w:rPr>
      </w:pPr>
      <w:proofErr w:type="spellStart"/>
      <w:r>
        <w:rPr>
          <w:b/>
        </w:rPr>
        <w:t>III</w:t>
      </w:r>
      <w:proofErr w:type="spellEnd"/>
      <w:r>
        <w:rPr>
          <w:b/>
        </w:rPr>
        <w:t xml:space="preserve"> - DECISÃO</w:t>
      </w:r>
    </w:p>
    <w:sectPr w:rsidR="00AA28DF" w:rsidRPr="00AA28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81E31"/>
    <w:multiLevelType w:val="hybridMultilevel"/>
    <w:tmpl w:val="C55E378C"/>
    <w:lvl w:ilvl="0" w:tplc="99A60A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B5A3256"/>
    <w:multiLevelType w:val="hybridMultilevel"/>
    <w:tmpl w:val="F4863F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942"/>
    <w:rsid w:val="00165C47"/>
    <w:rsid w:val="001C6895"/>
    <w:rsid w:val="002B1371"/>
    <w:rsid w:val="003E46F9"/>
    <w:rsid w:val="00483BFA"/>
    <w:rsid w:val="0054274D"/>
    <w:rsid w:val="005C0B23"/>
    <w:rsid w:val="00600352"/>
    <w:rsid w:val="00672942"/>
    <w:rsid w:val="006D3688"/>
    <w:rsid w:val="00870921"/>
    <w:rsid w:val="00877419"/>
    <w:rsid w:val="00A4313C"/>
    <w:rsid w:val="00AA28DF"/>
    <w:rsid w:val="00AE47D1"/>
    <w:rsid w:val="00CD2428"/>
    <w:rsid w:val="00D100C2"/>
    <w:rsid w:val="00F4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81D04"/>
  <w15:chartTrackingRefBased/>
  <w15:docId w15:val="{E71B5493-078B-43B1-8B3D-80B00A75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C47"/>
    <w:pPr>
      <w:spacing w:after="24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aliases w:val="Titulo 1"/>
    <w:basedOn w:val="Fontepargpadro"/>
    <w:uiPriority w:val="33"/>
    <w:qFormat/>
    <w:rsid w:val="00165C47"/>
    <w:rPr>
      <w:rFonts w:ascii="Times New Roman" w:hAnsi="Times New Roman"/>
      <w:b/>
      <w:bCs/>
      <w:i w:val="0"/>
      <w:iCs/>
      <w:spacing w:val="5"/>
      <w:sz w:val="24"/>
    </w:rPr>
  </w:style>
  <w:style w:type="paragraph" w:styleId="SemEspaamento">
    <w:name w:val="No Spacing"/>
    <w:aliases w:val="Ementa"/>
    <w:uiPriority w:val="1"/>
    <w:qFormat/>
    <w:rsid w:val="00165C47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paragraph" w:styleId="Citao">
    <w:name w:val="Quote"/>
    <w:basedOn w:val="Normal"/>
    <w:next w:val="Normal"/>
    <w:link w:val="CitaoChar"/>
    <w:uiPriority w:val="29"/>
    <w:qFormat/>
    <w:rsid w:val="00165C47"/>
    <w:pPr>
      <w:shd w:val="clear" w:color="auto" w:fill="FFFFFF"/>
      <w:spacing w:before="600" w:after="600"/>
      <w:ind w:left="2268"/>
    </w:pPr>
    <w:rPr>
      <w:rFonts w:eastAsia="Times New Roman" w:cs="Times New Roman"/>
      <w:spacing w:val="2"/>
      <w:sz w:val="20"/>
      <w:szCs w:val="30"/>
      <w:lang w:eastAsia="pt-BR"/>
    </w:rPr>
  </w:style>
  <w:style w:type="character" w:customStyle="1" w:styleId="CitaoChar">
    <w:name w:val="Citação Char"/>
    <w:basedOn w:val="Fontepargpadro"/>
    <w:link w:val="Citao"/>
    <w:uiPriority w:val="29"/>
    <w:rsid w:val="00165C47"/>
    <w:rPr>
      <w:rFonts w:ascii="Times New Roman" w:eastAsia="Times New Roman" w:hAnsi="Times New Roman" w:cs="Times New Roman"/>
      <w:spacing w:val="2"/>
      <w:sz w:val="20"/>
      <w:szCs w:val="30"/>
      <w:shd w:val="clear" w:color="auto" w:fill="FFFFFF"/>
      <w:lang w:eastAsia="pt-BR"/>
    </w:rPr>
  </w:style>
  <w:style w:type="paragraph" w:styleId="PargrafodaLista">
    <w:name w:val="List Paragraph"/>
    <w:basedOn w:val="Normal"/>
    <w:uiPriority w:val="34"/>
    <w:qFormat/>
    <w:rsid w:val="00AA2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0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7" ma:contentTypeDescription="Crie um novo documento." ma:contentTypeScope="" ma:versionID="241f54de39da0e0d12ebc5a947a29d63">
  <xsd:schema xmlns:xsd="http://www.w3.org/2001/XMLSchema" xmlns:xs="http://www.w3.org/2001/XMLSchema" xmlns:p="http://schemas.microsoft.com/office/2006/metadata/properties" xmlns:ns2="c04bd5eb-5da3-4c78-b159-2bc8443a6345" targetNamespace="http://schemas.microsoft.com/office/2006/metadata/properties" ma:root="true" ma:fieldsID="e12ee24599afade0617e47033d097d55" ns2:_="">
    <xsd:import namespace="c04bd5eb-5da3-4c78-b159-2bc8443a6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bd5eb-5da3-4c78-b159-2bc8443a6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0EED4E-80DE-4CC2-A6BA-3BBDF4F6A680}"/>
</file>

<file path=customXml/itemProps2.xml><?xml version="1.0" encoding="utf-8"?>
<ds:datastoreItem xmlns:ds="http://schemas.openxmlformats.org/officeDocument/2006/customXml" ds:itemID="{2817C6DB-FFCF-4CC3-8956-C944643E9050}"/>
</file>

<file path=customXml/itemProps3.xml><?xml version="1.0" encoding="utf-8"?>
<ds:datastoreItem xmlns:ds="http://schemas.openxmlformats.org/officeDocument/2006/customXml" ds:itemID="{1E0F11DF-92D4-42B4-9E16-889E7775362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2122</Words>
  <Characters>11464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13559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5</cp:revision>
  <dcterms:created xsi:type="dcterms:W3CDTF">2024-02-08T17:42:00Z</dcterms:created>
  <dcterms:modified xsi:type="dcterms:W3CDTF">2024-02-28T20:43:00Z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334800</vt:r8>
  </property>
</Properties>
</file>