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CD89" w14:textId="0E749D10" w:rsidR="00E75027" w:rsidRDefault="00146748" w:rsidP="00146748">
      <w:pPr>
        <w:ind w:firstLine="0"/>
        <w:rPr>
          <w:b/>
        </w:rPr>
      </w:pPr>
      <w:r w:rsidRPr="00146748">
        <w:rPr>
          <w:b/>
        </w:rPr>
        <w:t>DIREITO</w:t>
      </w:r>
      <w:r w:rsidR="00DA095D">
        <w:rPr>
          <w:b/>
        </w:rPr>
        <w:t xml:space="preserve"> CIVIL E PROCESSUAL CIVIL.</w:t>
      </w:r>
      <w:r w:rsidR="00E75027">
        <w:rPr>
          <w:b/>
        </w:rPr>
        <w:t xml:space="preserve"> </w:t>
      </w:r>
      <w:r w:rsidR="00DA095D">
        <w:rPr>
          <w:b/>
        </w:rPr>
        <w:t>APELAÇÃO.</w:t>
      </w:r>
      <w:r w:rsidR="00E75027">
        <w:rPr>
          <w:b/>
        </w:rPr>
        <w:t xml:space="preserve"> EMBARGOS À EXECUÇÃO. EXECUÇÃO DE TÍTULO EXTRAJUDICIAL. CONSÓRCIO. ALIENAÇÃO FIDUCIÁRIA. DESCRIÇÃO DO VALOR. AUSÊNCIA. ILIQUIDEZ. INCERTEZA.</w:t>
      </w:r>
    </w:p>
    <w:p w14:paraId="153FB66C" w14:textId="77777777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I. CASO EM EXAME</w:t>
      </w:r>
    </w:p>
    <w:p w14:paraId="484608A7" w14:textId="6163998F" w:rsidR="00146748" w:rsidRPr="00146748" w:rsidRDefault="00E75027" w:rsidP="00146748">
      <w:pPr>
        <w:ind w:firstLine="0"/>
        <w:rPr>
          <w:b/>
        </w:rPr>
      </w:pPr>
      <w:r>
        <w:rPr>
          <w:b/>
        </w:rPr>
        <w:t xml:space="preserve">Recurso de apelação interposto contra sentença que julgou procedente embargos à execução de título extrajudicial, </w:t>
      </w:r>
      <w:r w:rsidR="00C57E0A">
        <w:rPr>
          <w:b/>
        </w:rPr>
        <w:t>reconhecendo a iliquidez e incerteza dos títulos apresentados, porquanto ausente, no</w:t>
      </w:r>
      <w:r w:rsidR="00DD39B3">
        <w:rPr>
          <w:b/>
        </w:rPr>
        <w:t>s</w:t>
      </w:r>
      <w:r w:rsidR="00C57E0A">
        <w:rPr>
          <w:b/>
        </w:rPr>
        <w:t xml:space="preserve"> instrumento</w:t>
      </w:r>
      <w:r w:rsidR="00DD39B3">
        <w:rPr>
          <w:b/>
        </w:rPr>
        <w:t>s</w:t>
      </w:r>
      <w:r w:rsidR="00C57E0A">
        <w:rPr>
          <w:b/>
        </w:rPr>
        <w:t>, descrição dos valores relativos à operação contratual</w:t>
      </w:r>
      <w:r w:rsidR="00DD39B3">
        <w:rPr>
          <w:b/>
        </w:rPr>
        <w:t>.</w:t>
      </w:r>
    </w:p>
    <w:p w14:paraId="02435230" w14:textId="2D824473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II. QUESTÃO EM DISCUSSÃO</w:t>
      </w:r>
    </w:p>
    <w:p w14:paraId="6BB4A4A5" w14:textId="71702FBE" w:rsidR="00146748" w:rsidRPr="00146748" w:rsidRDefault="00DD39B3" w:rsidP="00146748">
      <w:pPr>
        <w:ind w:firstLine="0"/>
        <w:rPr>
          <w:b/>
        </w:rPr>
      </w:pPr>
      <w:r>
        <w:rPr>
          <w:b/>
        </w:rPr>
        <w:t xml:space="preserve">Avaliação dos requisitos do título executivo </w:t>
      </w:r>
      <w:r w:rsidR="00E454F4">
        <w:rPr>
          <w:b/>
        </w:rPr>
        <w:t>extrajudicial.</w:t>
      </w:r>
    </w:p>
    <w:p w14:paraId="300AFE19" w14:textId="77777777" w:rsidR="00146748" w:rsidRDefault="00146748" w:rsidP="00146748">
      <w:pPr>
        <w:ind w:firstLine="0"/>
        <w:rPr>
          <w:b/>
        </w:rPr>
      </w:pPr>
      <w:r w:rsidRPr="00146748">
        <w:rPr>
          <w:b/>
        </w:rPr>
        <w:t>III. RAZÕES DE DECIDIR</w:t>
      </w:r>
    </w:p>
    <w:p w14:paraId="34BD1DE0" w14:textId="074E9396" w:rsidR="00E454F4" w:rsidRDefault="002801D5" w:rsidP="00146748">
      <w:pPr>
        <w:ind w:firstLine="0"/>
        <w:rPr>
          <w:b/>
        </w:rPr>
      </w:pPr>
      <w:r>
        <w:rPr>
          <w:b/>
        </w:rPr>
        <w:t>Os requisitos de certeza, liquidez e exigibilidade da obrigação devem estar consubstanciados no próprio título</w:t>
      </w:r>
      <w:r w:rsidR="00041B1C">
        <w:rPr>
          <w:b/>
        </w:rPr>
        <w:t xml:space="preserve"> executivo, não se admitindo que sejam concebidos a partir da conjugação com outros elementos</w:t>
      </w:r>
      <w:r w:rsidR="00794925">
        <w:rPr>
          <w:b/>
        </w:rPr>
        <w:t xml:space="preserve"> não submetidos ao consentimento válido do devedor.</w:t>
      </w:r>
    </w:p>
    <w:p w14:paraId="6AF28E16" w14:textId="46408863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IV. SOLUÇÃO DO CASO</w:t>
      </w:r>
    </w:p>
    <w:p w14:paraId="7641D84D" w14:textId="562FE108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Recurso conhecido e desprovido.</w:t>
      </w:r>
    </w:p>
    <w:p w14:paraId="34905683" w14:textId="72DC769A" w:rsidR="00146748" w:rsidRDefault="00146748" w:rsidP="00146748">
      <w:pPr>
        <w:ind w:firstLine="0"/>
        <w:rPr>
          <w:b/>
        </w:rPr>
      </w:pPr>
      <w:r w:rsidRPr="00146748">
        <w:rPr>
          <w:b/>
        </w:rPr>
        <w:t>V. JURISPRUDÊNCIA E LEGISLAÇÃO UTILIZADAS</w:t>
      </w:r>
    </w:p>
    <w:p w14:paraId="280AAA6C" w14:textId="5122A9AD" w:rsidR="00E454F4" w:rsidRDefault="00E454F4" w:rsidP="00146748">
      <w:pPr>
        <w:ind w:firstLine="0"/>
        <w:rPr>
          <w:b/>
        </w:rPr>
      </w:pPr>
      <w:r>
        <w:rPr>
          <w:b/>
        </w:rPr>
        <w:t>V.I. Jurisprudência</w:t>
      </w:r>
    </w:p>
    <w:p w14:paraId="6506BC42" w14:textId="19D3BDF0" w:rsidR="00E454F4" w:rsidRDefault="002812A2" w:rsidP="00146748">
      <w:pPr>
        <w:ind w:firstLine="0"/>
        <w:rPr>
          <w:b/>
        </w:rPr>
      </w:pPr>
      <w:r w:rsidRPr="002812A2">
        <w:rPr>
          <w:b/>
        </w:rPr>
        <w:t>TJPR. 15ª Câmara Cível. Relator: Desembargador Jucimar Novochadlo. 0006756-04.2023.8.16.0000. Umuarama. Data de julgamento: 25-04-2023</w:t>
      </w:r>
      <w:r>
        <w:rPr>
          <w:b/>
        </w:rPr>
        <w:t>.</w:t>
      </w:r>
    </w:p>
    <w:p w14:paraId="6466C801" w14:textId="4F64066D" w:rsidR="00E454F4" w:rsidRPr="00146748" w:rsidRDefault="00E454F4" w:rsidP="00146748">
      <w:pPr>
        <w:ind w:firstLine="0"/>
        <w:rPr>
          <w:b/>
        </w:rPr>
      </w:pPr>
      <w:r>
        <w:rPr>
          <w:b/>
        </w:rPr>
        <w:t>V.II. Legislação utilizada</w:t>
      </w:r>
    </w:p>
    <w:p w14:paraId="019BC04E" w14:textId="00D1BE42" w:rsidR="00AA28DF" w:rsidRPr="00E454F4" w:rsidRDefault="008C6139" w:rsidP="00E454F4">
      <w:pPr>
        <w:ind w:firstLine="0"/>
        <w:rPr>
          <w:b/>
        </w:rPr>
      </w:pPr>
      <w:r>
        <w:rPr>
          <w:b/>
        </w:rPr>
        <w:t>Código de Processo Civil: art. 783; art. 784, § 4º; art. 786.</w:t>
      </w:r>
    </w:p>
    <w:p w14:paraId="4F2D2C21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3E9F44F2" w14:textId="4F5F6FC8" w:rsidR="00FF200D" w:rsidRDefault="00AA28DF" w:rsidP="00AA28DF">
      <w:pPr>
        <w:pStyle w:val="PargrafodaLista"/>
        <w:ind w:left="0"/>
        <w:contextualSpacing w:val="0"/>
      </w:pPr>
      <w:r>
        <w:lastRenderedPageBreak/>
        <w:t xml:space="preserve">Cuida-se de </w:t>
      </w:r>
      <w:r w:rsidR="00FF200D">
        <w:t xml:space="preserve">recurso de apelação interposto por </w:t>
      </w:r>
      <w:r w:rsidR="00A947A2">
        <w:t xml:space="preserve">Servopa Administradora de Consórcios Ltda. em face de Caroline de Lima dos Santos, tendo como objeto sentença proferida pelo juízo da </w:t>
      </w:r>
      <w:r w:rsidR="00E00A42">
        <w:t xml:space="preserve">1ª Vara Cível de Ponta Grossa, </w:t>
      </w:r>
      <w:r w:rsidR="00637053">
        <w:t>que julgou procedentes embargos à execução, sob o fundamento de iliquidez e incerteza do título executivo (eventos</w:t>
      </w:r>
      <w:r w:rsidR="006045A7">
        <w:t xml:space="preserve"> 33.1 e 47.1 – autos de origem).</w:t>
      </w:r>
    </w:p>
    <w:p w14:paraId="1302C5E2" w14:textId="061A0D54" w:rsidR="00AA28DF" w:rsidRDefault="006045A7" w:rsidP="00AA28DF">
      <w:pPr>
        <w:pStyle w:val="PargrafodaLista"/>
        <w:ind w:left="0"/>
        <w:contextualSpacing w:val="0"/>
      </w:pPr>
      <w:r>
        <w:t>Eis, em síntese, as razões de inconformismo:</w:t>
      </w:r>
      <w:r w:rsidR="00005A12">
        <w:t xml:space="preserve"> a) os contratos de consórcio e de alienação fiduciária em garantia são, por previsão legal, títulos executivos extrajudiciais; b) a quantificação do crédito exequendo depende de mera operação aritmética, dedutível do extrato que acompanha a inicial</w:t>
      </w:r>
      <w:r w:rsidR="00406CA0">
        <w:t xml:space="preserve"> (evento 53.1 – autos de origem).</w:t>
      </w:r>
    </w:p>
    <w:p w14:paraId="6C6E3083" w14:textId="09EC1835" w:rsidR="00AA28DF" w:rsidRDefault="006045A7" w:rsidP="00AA28DF">
      <w:pPr>
        <w:pStyle w:val="PargrafodaLista"/>
        <w:ind w:left="0"/>
        <w:contextualSpacing w:val="0"/>
      </w:pPr>
      <w:r>
        <w:t>Nas contrarrazões, a apelada sustentou que:</w:t>
      </w:r>
      <w:r w:rsidR="00406CA0">
        <w:t xml:space="preserve"> a) os contratos não possuem sua assinatura; b) </w:t>
      </w:r>
      <w:r w:rsidR="003F073B">
        <w:t xml:space="preserve">não há previsão, nos instrumentos negociais, dos valores relativos ao compromisso, tampouco das rubricas de taxa de administração e fundo de reserva; c) </w:t>
      </w:r>
      <w:r w:rsidR="00DB4D1E">
        <w:t>os contratos não constituem título executivo extrajudicial, porque carecem de liquidez e, consequentemente, de certeza (evento 60.2 – autos de origem).</w:t>
      </w:r>
    </w:p>
    <w:p w14:paraId="5A480162" w14:textId="77777777"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14:paraId="1769E6BE" w14:textId="77777777" w:rsidR="00AA28DF" w:rsidRDefault="00AA28DF" w:rsidP="00877419">
      <w:pPr>
        <w:pStyle w:val="PargrafodaLista"/>
        <w:ind w:left="0"/>
        <w:contextualSpacing w:val="0"/>
      </w:pPr>
    </w:p>
    <w:p w14:paraId="54C5CE34" w14:textId="77777777"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43849029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4A686CAF" w14:textId="6DA307DC" w:rsidR="00187F02" w:rsidRDefault="00187F02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14:paraId="74EEB4C1" w14:textId="77777777" w:rsidR="00187F02" w:rsidRDefault="00187F02" w:rsidP="00877419">
      <w:pPr>
        <w:pStyle w:val="PargrafodaLista"/>
        <w:ind w:left="0"/>
        <w:contextualSpacing w:val="0"/>
      </w:pPr>
    </w:p>
    <w:p w14:paraId="0863287C" w14:textId="30898618" w:rsidR="00187F02" w:rsidRDefault="00187F02" w:rsidP="00877419">
      <w:pPr>
        <w:pStyle w:val="PargrafodaLista"/>
        <w:ind w:left="0"/>
        <w:contextualSpacing w:val="0"/>
      </w:pPr>
      <w:r>
        <w:t xml:space="preserve">II.II – </w:t>
      </w:r>
      <w:r w:rsidR="003274C0">
        <w:t>DO TÍTULO EXECUTIVO</w:t>
      </w:r>
    </w:p>
    <w:p w14:paraId="44C7A56B" w14:textId="77777777" w:rsidR="006E0EB3" w:rsidRDefault="006906AB" w:rsidP="006E0EB3">
      <w:pPr>
        <w:pStyle w:val="PargrafodaLista"/>
        <w:ind w:left="0"/>
        <w:contextualSpacing w:val="0"/>
      </w:pPr>
      <w:r>
        <w:t xml:space="preserve">Cinge-se a controvérsia recursal ao reexame de sentença que </w:t>
      </w:r>
      <w:r w:rsidR="00636CDF">
        <w:t xml:space="preserve">julgou procedentes embargos à execução, reconhecendo a iliquidez e consequente incerteza do título executivo, </w:t>
      </w:r>
      <w:r w:rsidR="00383E23">
        <w:t>ao fundamento de ausência de descrição completa do crédito executado.</w:t>
      </w:r>
    </w:p>
    <w:p w14:paraId="5220315E" w14:textId="68D48030" w:rsidR="00EE12FF" w:rsidRDefault="0053080C" w:rsidP="006E0EB3">
      <w:pPr>
        <w:pStyle w:val="PargrafodaLista"/>
        <w:ind w:left="0"/>
        <w:contextualSpacing w:val="0"/>
      </w:pPr>
      <w:r>
        <w:t>Por expressa previsão legal, a execução de título extrajudicial</w:t>
      </w:r>
      <w:r w:rsidR="00377AD5">
        <w:t xml:space="preserve"> fundamentar-se-á, sempre, em título de obrigação certa, líquida e exi</w:t>
      </w:r>
      <w:r w:rsidR="00C56E52">
        <w:t>gível (CPC, art. 783).</w:t>
      </w:r>
    </w:p>
    <w:p w14:paraId="2064C5E9" w14:textId="27DB655F" w:rsidR="00C56E52" w:rsidRDefault="0009306C" w:rsidP="006E0EB3">
      <w:pPr>
        <w:pStyle w:val="PargrafodaLista"/>
        <w:ind w:left="0"/>
        <w:contextualSpacing w:val="0"/>
      </w:pPr>
      <w:r>
        <w:lastRenderedPageBreak/>
        <w:t xml:space="preserve">Consoante interpretação gramatical que se faz do </w:t>
      </w:r>
      <w:r w:rsidR="002E1CB4">
        <w:t xml:space="preserve">susodito dispositivo, mesmo os </w:t>
      </w:r>
      <w:r>
        <w:t>contratos representativos de consórcio e alienação fiduciária</w:t>
      </w:r>
      <w:r w:rsidR="002E1CB4">
        <w:t xml:space="preserve">, topologicamente previstos em lei como títulos executivos extrajudiciais, </w:t>
      </w:r>
      <w:r w:rsidR="006D49A0">
        <w:t>os requisitos de certeza, liquidez e exigibilidade são inafastáveis.</w:t>
      </w:r>
    </w:p>
    <w:p w14:paraId="159ED7B0" w14:textId="53BCA0A4" w:rsidR="006D49A0" w:rsidRDefault="00090B86" w:rsidP="006E0EB3">
      <w:pPr>
        <w:pStyle w:val="PargrafodaLista"/>
        <w:ind w:left="0"/>
        <w:contextualSpacing w:val="0"/>
      </w:pPr>
      <w:r>
        <w:t xml:space="preserve">A própria codificação processual civil estabeleceu, em seu artigo 786, que </w:t>
      </w:r>
      <w:r w:rsidR="005E08E4">
        <w:t>os requisitos de liquidez, exigibilidade e certeza devem estar consubstanciados no próprio título.</w:t>
      </w:r>
    </w:p>
    <w:p w14:paraId="686D6469" w14:textId="16853EDB" w:rsidR="005E08E4" w:rsidRDefault="005E08E4" w:rsidP="006E0EB3">
      <w:pPr>
        <w:pStyle w:val="PargrafodaLista"/>
        <w:ind w:left="0"/>
        <w:contextualSpacing w:val="0"/>
      </w:pPr>
      <w:r>
        <w:t xml:space="preserve">Não se admite, portanto, </w:t>
      </w:r>
      <w:r w:rsidR="00AE00F6">
        <w:t>a conformação de referidos requisitos mediante conjugação de elementos de informação alheios</w:t>
      </w:r>
      <w:r w:rsidR="00B30A58">
        <w:t xml:space="preserve"> ao instrumento negocial, tampouco de produção unilateral, sem demonstração de </w:t>
      </w:r>
      <w:r w:rsidR="00F167E7">
        <w:t>submissão a consentimento válido do devedor (CPC, art. 784, § 4º).</w:t>
      </w:r>
    </w:p>
    <w:p w14:paraId="0AF5B2BD" w14:textId="50804065" w:rsidR="00F167E7" w:rsidRDefault="00F167E7" w:rsidP="006E0EB3">
      <w:pPr>
        <w:pStyle w:val="PargrafodaLista"/>
        <w:ind w:left="0"/>
        <w:contextualSpacing w:val="0"/>
      </w:pPr>
      <w:r>
        <w:t>Sobre o tema:</w:t>
      </w:r>
    </w:p>
    <w:p w14:paraId="009DAADF" w14:textId="77777777" w:rsidR="00EE12FF" w:rsidRDefault="00EE12FF" w:rsidP="006E0EB3">
      <w:pPr>
        <w:pStyle w:val="PargrafodaLista"/>
        <w:ind w:left="0"/>
        <w:contextualSpacing w:val="0"/>
      </w:pPr>
    </w:p>
    <w:p w14:paraId="0B6A4F8B" w14:textId="3EFB992E" w:rsidR="00EE12FF" w:rsidRDefault="00EE12FF" w:rsidP="002812A2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EE12FF">
        <w:rPr>
          <w:sz w:val="20"/>
          <w:szCs w:val="18"/>
        </w:rPr>
        <w:t>AGRAVO DE INSTRUMENTO. CONTRATO DE PRESTAÇÃO DE SERVIÇOS HOSPITALARES. 1. EXCEÇÃO DE PRÉ-EXECUTIVIDADE. REJEIÇÃO. ALEGAÇÃO DE ILIQUIDEZ DO TÍTULO EXECUTIVO. DOCUMENTOS INSUFICIENTES À DEMONSTRAREM A LIQUIDEZ DO TÍTULO EXECUTIVO EXTRAJUDICIAL. ACOLHIMENTO DA EXCEÇÃO, COM EXTINÇÃO DA EXECUÇÃO. 2. SUCUMBÊNCIA. FIXAÇÃO DO ÔNUS AO EXCEPTO. DECISÃO AGRAVADA REFORMADA.</w:t>
      </w:r>
      <w:r>
        <w:rPr>
          <w:sz w:val="20"/>
          <w:szCs w:val="18"/>
        </w:rPr>
        <w:t xml:space="preserve"> </w:t>
      </w:r>
      <w:r w:rsidRPr="00EE12FF">
        <w:rPr>
          <w:sz w:val="20"/>
          <w:szCs w:val="18"/>
        </w:rPr>
        <w:t>1. Nos termos do art. 783 do CPC, a execução para cobrança de crédito fundar-se-á sempre em título de obrigação certa, líquida e exigível. No caso, os documentos colacionados aos autos não são suficientes para demonstrar que o contrato de prestação de serviço está a retratar uma obrigação líquida. 2. O ônus de sucumbência deve ser recair sobre o excepto/exequente, em razão da extinção da execução.</w:t>
      </w:r>
      <w:r>
        <w:rPr>
          <w:sz w:val="20"/>
          <w:szCs w:val="18"/>
        </w:rPr>
        <w:t xml:space="preserve"> </w:t>
      </w:r>
      <w:r w:rsidRPr="00EE12FF">
        <w:rPr>
          <w:sz w:val="20"/>
          <w:szCs w:val="18"/>
        </w:rPr>
        <w:t>Agravo de Instrumento provido.</w:t>
      </w:r>
      <w:r>
        <w:rPr>
          <w:sz w:val="20"/>
          <w:szCs w:val="18"/>
        </w:rPr>
        <w:t xml:space="preserve"> </w:t>
      </w:r>
      <w:r w:rsidRPr="00EE12FF">
        <w:rPr>
          <w:sz w:val="20"/>
          <w:szCs w:val="18"/>
        </w:rPr>
        <w:t>(</w:t>
      </w:r>
      <w:bookmarkStart w:id="0" w:name="_Hlk199254485"/>
      <w:r w:rsidRPr="00EE12FF">
        <w:rPr>
          <w:sz w:val="20"/>
          <w:szCs w:val="18"/>
        </w:rPr>
        <w:t>TJPR</w:t>
      </w:r>
      <w:r>
        <w:rPr>
          <w:sz w:val="20"/>
          <w:szCs w:val="18"/>
        </w:rPr>
        <w:t>. 15ª Câmara Cível. Relator: Desembargador Jucimar Novochadlo</w:t>
      </w:r>
      <w:r w:rsidR="002812A2">
        <w:rPr>
          <w:sz w:val="20"/>
          <w:szCs w:val="18"/>
        </w:rPr>
        <w:t xml:space="preserve">. </w:t>
      </w:r>
      <w:r w:rsidRPr="00EE12FF">
        <w:rPr>
          <w:sz w:val="20"/>
          <w:szCs w:val="18"/>
        </w:rPr>
        <w:t>0006756-04.2023.8.16.0000</w:t>
      </w:r>
      <w:r w:rsidR="002812A2">
        <w:rPr>
          <w:sz w:val="20"/>
          <w:szCs w:val="18"/>
        </w:rPr>
        <w:t>. Umuarama. Data de julgamento: 25-04-2023</w:t>
      </w:r>
      <w:bookmarkEnd w:id="0"/>
      <w:r w:rsidR="002812A2">
        <w:rPr>
          <w:sz w:val="20"/>
          <w:szCs w:val="18"/>
        </w:rPr>
        <w:t>).</w:t>
      </w:r>
    </w:p>
    <w:p w14:paraId="3A69953D" w14:textId="77777777" w:rsidR="002812A2" w:rsidRPr="002812A2" w:rsidRDefault="002812A2" w:rsidP="002812A2">
      <w:pPr>
        <w:pStyle w:val="PargrafodaLista"/>
        <w:ind w:left="2268" w:firstLine="0"/>
        <w:contextualSpacing w:val="0"/>
        <w:rPr>
          <w:sz w:val="20"/>
          <w:szCs w:val="18"/>
        </w:rPr>
      </w:pPr>
    </w:p>
    <w:p w14:paraId="423C5B0E" w14:textId="20FE1CA9" w:rsidR="00034DAD" w:rsidRDefault="002812A2" w:rsidP="006E0EB3">
      <w:pPr>
        <w:pStyle w:val="PargrafodaLista"/>
        <w:ind w:left="0"/>
        <w:contextualSpacing w:val="0"/>
      </w:pPr>
      <w:r>
        <w:t>No caso dos autos</w:t>
      </w:r>
      <w:r w:rsidR="001246AB">
        <w:t xml:space="preserve">, </w:t>
      </w:r>
      <w:r w:rsidR="00034DAD">
        <w:t xml:space="preserve">os contratos de consórcio e alienação fiduciária não </w:t>
      </w:r>
      <w:r w:rsidR="00D44900">
        <w:t xml:space="preserve">quantificam de maneira minimamente </w:t>
      </w:r>
      <w:r w:rsidR="00AC0AA3">
        <w:t xml:space="preserve">inteligível os negócios jurídicos que instrumentalizam </w:t>
      </w:r>
      <w:r w:rsidR="00646AF5">
        <w:t xml:space="preserve">(eventos </w:t>
      </w:r>
      <w:r w:rsidR="00250A54">
        <w:t>1.</w:t>
      </w:r>
      <w:r w:rsidR="00EE12FF">
        <w:t xml:space="preserve">6 e 1.7 – autos n. </w:t>
      </w:r>
      <w:r w:rsidR="00EE12FF" w:rsidRPr="00EE12FF">
        <w:t>0039457-58.2023.8.16.0019</w:t>
      </w:r>
      <w:r w:rsidR="00EE12FF">
        <w:t>).</w:t>
      </w:r>
    </w:p>
    <w:p w14:paraId="49C1D578" w14:textId="0B1DFF6A" w:rsidR="002812A2" w:rsidRDefault="00AC0AA3" w:rsidP="006E0EB3">
      <w:pPr>
        <w:pStyle w:val="PargrafodaLista"/>
        <w:ind w:left="0"/>
        <w:contextualSpacing w:val="0"/>
      </w:pPr>
      <w:r>
        <w:lastRenderedPageBreak/>
        <w:t xml:space="preserve">O termo do consórcio sequer </w:t>
      </w:r>
      <w:r w:rsidR="00334684">
        <w:t xml:space="preserve">previu o valor global das parcelas mensais e, ademais, informou um número de prestações contrário à narrativa fática </w:t>
      </w:r>
      <w:r w:rsidR="00C040D1">
        <w:t xml:space="preserve">da parte exequente. O instrumento previu o pagamento </w:t>
      </w:r>
      <w:r w:rsidR="00B67F49">
        <w:t>em</w:t>
      </w:r>
      <w:r w:rsidR="00C040D1">
        <w:t xml:space="preserve"> 71 </w:t>
      </w:r>
      <w:r w:rsidR="00B67F49">
        <w:t>(setenta e um) meses</w:t>
      </w:r>
      <w:r w:rsidR="001A2352">
        <w:t xml:space="preserve"> (evento 1.6 - autos n. </w:t>
      </w:r>
      <w:r w:rsidR="001A2352" w:rsidRPr="00EE12FF">
        <w:t>0039457-58.2023.8.16.0019</w:t>
      </w:r>
      <w:r w:rsidR="001A2352">
        <w:t>)</w:t>
      </w:r>
      <w:r w:rsidR="00B67F49">
        <w:t xml:space="preserve">, ao passo em que a narrativa inaugural </w:t>
      </w:r>
      <w:r w:rsidR="001A2352">
        <w:t>se refere</w:t>
      </w:r>
      <w:r w:rsidR="00B67F49">
        <w:t xml:space="preserve"> </w:t>
      </w:r>
      <w:r w:rsidR="001A2352">
        <w:t xml:space="preserve">à negociação de 65 (sessenta e cinco) prestações mensais (evento 1.1 – autos n. </w:t>
      </w:r>
      <w:r w:rsidR="001A2352" w:rsidRPr="00EE12FF">
        <w:t>0039457-58.2023.8.16.0019</w:t>
      </w:r>
      <w:r w:rsidR="001A2352">
        <w:t>).</w:t>
      </w:r>
    </w:p>
    <w:p w14:paraId="7662FCBE" w14:textId="7ED444F8" w:rsidR="00557C99" w:rsidRDefault="00557C99" w:rsidP="006E0EB3">
      <w:pPr>
        <w:pStyle w:val="PargrafodaLista"/>
        <w:ind w:left="0"/>
        <w:contextualSpacing w:val="0"/>
      </w:pPr>
      <w:r>
        <w:t>Ainda que o termo de alienação fiduciária tenha previsto os valores globais do contrato</w:t>
      </w:r>
      <w:r w:rsidR="00BC211C">
        <w:t>,</w:t>
      </w:r>
      <w:r w:rsidR="008B7906">
        <w:t xml:space="preserve"> apurados até o momento da contemplação no consórcio,</w:t>
      </w:r>
      <w:r w:rsidR="00BC211C">
        <w:t xml:space="preserve"> </w:t>
      </w:r>
      <w:r w:rsidR="00ED669F">
        <w:t xml:space="preserve">também não fez referência às parcelas mensais </w:t>
      </w:r>
      <w:r w:rsidR="00BC211C">
        <w:t xml:space="preserve">(evento 1.7 – autos n. </w:t>
      </w:r>
      <w:r w:rsidR="00BC211C" w:rsidRPr="00EE12FF">
        <w:t>0039457-58.2023.8.16.0019</w:t>
      </w:r>
      <w:r w:rsidR="00BC211C">
        <w:t>).</w:t>
      </w:r>
    </w:p>
    <w:p w14:paraId="0013D9DA" w14:textId="4B44B843" w:rsidR="00974A58" w:rsidRDefault="00974A58" w:rsidP="001246AB">
      <w:pPr>
        <w:pStyle w:val="PargrafodaLista"/>
        <w:ind w:left="0"/>
        <w:contextualSpacing w:val="0"/>
      </w:pPr>
      <w:r>
        <w:t xml:space="preserve">Com efeito, a </w:t>
      </w:r>
      <w:r w:rsidR="007537A8">
        <w:t>composição quantitativa do crédito depende</w:t>
      </w:r>
      <w:r w:rsidR="00641B3A">
        <w:t>, no caso, do demonstrativo de cálculo apresentado, produzido unilateralmente pela parte exequente, sem correspondência objetiva nos instrumentos contratuais.</w:t>
      </w:r>
    </w:p>
    <w:p w14:paraId="78BCA4F4" w14:textId="1D97C513" w:rsidR="00B57A79" w:rsidRDefault="00641B3A" w:rsidP="001246AB">
      <w:pPr>
        <w:pStyle w:val="PargrafodaLista"/>
        <w:ind w:left="0"/>
        <w:contextualSpacing w:val="0"/>
      </w:pPr>
      <w:r>
        <w:t>Assim, e</w:t>
      </w:r>
      <w:r w:rsidR="001246AB">
        <w:t>m que pesem os argumentos deduzidos nas razões recursais, os títulos apresentados</w:t>
      </w:r>
      <w:r w:rsidR="009B1BD5">
        <w:t>, carentes</w:t>
      </w:r>
      <w:r w:rsidR="00B57A79">
        <w:t xml:space="preserve"> de liquidez e certeza, </w:t>
      </w:r>
      <w:r w:rsidR="0053080C">
        <w:t>não constituem títulos executivos extrajudiciais hábeis.</w:t>
      </w:r>
    </w:p>
    <w:p w14:paraId="0B016E4C" w14:textId="5E78B079" w:rsidR="00E454F4" w:rsidRDefault="00C56E52" w:rsidP="001246AB">
      <w:pPr>
        <w:pStyle w:val="PargrafodaLista"/>
        <w:ind w:left="0"/>
        <w:contextualSpacing w:val="0"/>
      </w:pPr>
      <w:r>
        <w:t>Não se acolhe</w:t>
      </w:r>
      <w:r w:rsidR="0053080C">
        <w:t xml:space="preserve">, </w:t>
      </w:r>
      <w:r>
        <w:t>portanto</w:t>
      </w:r>
      <w:r w:rsidR="0053080C">
        <w:t>, o repto.</w:t>
      </w:r>
    </w:p>
    <w:p w14:paraId="4A6414DD" w14:textId="77777777" w:rsidR="00974A58" w:rsidRDefault="00974A58" w:rsidP="001246AB">
      <w:pPr>
        <w:pStyle w:val="PargrafodaLista"/>
        <w:ind w:left="0"/>
        <w:contextualSpacing w:val="0"/>
      </w:pPr>
    </w:p>
    <w:p w14:paraId="4F9B449E" w14:textId="42873314" w:rsidR="00AA28DF" w:rsidRDefault="004D2904" w:rsidP="00877419">
      <w:pPr>
        <w:pStyle w:val="PargrafodaLista"/>
        <w:ind w:left="0"/>
        <w:contextualSpacing w:val="0"/>
      </w:pPr>
      <w:r>
        <w:t xml:space="preserve">II.III – </w:t>
      </w:r>
      <w:r w:rsidR="00AA28DF">
        <w:t>DA CONCLUSÃO</w:t>
      </w:r>
    </w:p>
    <w:p w14:paraId="12A4456E" w14:textId="2E645F33"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A45366">
        <w:t xml:space="preserve">em conhecer e </w:t>
      </w:r>
      <w:r w:rsidR="006045A7">
        <w:t>negar</w:t>
      </w:r>
      <w:r w:rsidR="00A45366">
        <w:t xml:space="preserve"> provimento ao recurso</w:t>
      </w:r>
      <w:r>
        <w:t>.</w:t>
      </w:r>
    </w:p>
    <w:p w14:paraId="4308533E" w14:textId="77777777"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14:paraId="316E59E6" w14:textId="77777777" w:rsidR="00AA28DF" w:rsidRDefault="00AA28DF" w:rsidP="00877419">
      <w:pPr>
        <w:pStyle w:val="PargrafodaLista"/>
        <w:ind w:left="0"/>
        <w:contextualSpacing w:val="0"/>
      </w:pPr>
    </w:p>
    <w:p w14:paraId="717BA75D" w14:textId="5C48586C"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6045A7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05A12"/>
    <w:rsid w:val="00026100"/>
    <w:rsid w:val="00034DAD"/>
    <w:rsid w:val="00041B1C"/>
    <w:rsid w:val="00090B86"/>
    <w:rsid w:val="0009306C"/>
    <w:rsid w:val="001246AB"/>
    <w:rsid w:val="00146748"/>
    <w:rsid w:val="00165C47"/>
    <w:rsid w:val="00187F02"/>
    <w:rsid w:val="001A2352"/>
    <w:rsid w:val="00250A54"/>
    <w:rsid w:val="002801D5"/>
    <w:rsid w:val="002812A2"/>
    <w:rsid w:val="002E1CB4"/>
    <w:rsid w:val="003274C0"/>
    <w:rsid w:val="00334684"/>
    <w:rsid w:val="00377AD5"/>
    <w:rsid w:val="00383E23"/>
    <w:rsid w:val="003F073B"/>
    <w:rsid w:val="00406CA0"/>
    <w:rsid w:val="004A1D48"/>
    <w:rsid w:val="004D2904"/>
    <w:rsid w:val="0053080C"/>
    <w:rsid w:val="00557C99"/>
    <w:rsid w:val="005E08E4"/>
    <w:rsid w:val="0060290F"/>
    <w:rsid w:val="006045A7"/>
    <w:rsid w:val="00636CDF"/>
    <w:rsid w:val="00637053"/>
    <w:rsid w:val="00641B3A"/>
    <w:rsid w:val="00646AF5"/>
    <w:rsid w:val="00672942"/>
    <w:rsid w:val="006906AB"/>
    <w:rsid w:val="006B71B4"/>
    <w:rsid w:val="006D49A0"/>
    <w:rsid w:val="006E0EB3"/>
    <w:rsid w:val="006F46E7"/>
    <w:rsid w:val="007537A8"/>
    <w:rsid w:val="00794062"/>
    <w:rsid w:val="00794925"/>
    <w:rsid w:val="007F5112"/>
    <w:rsid w:val="00877419"/>
    <w:rsid w:val="008B7906"/>
    <w:rsid w:val="008C6139"/>
    <w:rsid w:val="00974A58"/>
    <w:rsid w:val="009B1BD5"/>
    <w:rsid w:val="00A45366"/>
    <w:rsid w:val="00A947A2"/>
    <w:rsid w:val="00AA28DF"/>
    <w:rsid w:val="00AC0AA3"/>
    <w:rsid w:val="00AE00F6"/>
    <w:rsid w:val="00AE47D1"/>
    <w:rsid w:val="00B30A58"/>
    <w:rsid w:val="00B57A79"/>
    <w:rsid w:val="00B67F49"/>
    <w:rsid w:val="00BC211C"/>
    <w:rsid w:val="00C040D1"/>
    <w:rsid w:val="00C1230F"/>
    <w:rsid w:val="00C56E52"/>
    <w:rsid w:val="00C57E0A"/>
    <w:rsid w:val="00D44900"/>
    <w:rsid w:val="00DA095D"/>
    <w:rsid w:val="00DB4D1E"/>
    <w:rsid w:val="00DC37B4"/>
    <w:rsid w:val="00DD39B3"/>
    <w:rsid w:val="00E00A42"/>
    <w:rsid w:val="00E454F4"/>
    <w:rsid w:val="00E75027"/>
    <w:rsid w:val="00ED669F"/>
    <w:rsid w:val="00EE12FF"/>
    <w:rsid w:val="00F167E7"/>
    <w:rsid w:val="00FF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24C2E-A7A5-4ECF-80A9-A62E4AFC5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943</Words>
  <Characters>5094</Characters>
  <Application>Microsoft Office Word</Application>
  <DocSecurity>0</DocSecurity>
  <Lines>42</Lines>
  <Paragraphs>12</Paragraphs>
  <ScaleCrop>false</ScaleCrop>
  <Company>Tribunal de Justiça do Estado do Paraná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68</cp:revision>
  <dcterms:created xsi:type="dcterms:W3CDTF">2024-02-08T17:42:00Z</dcterms:created>
  <dcterms:modified xsi:type="dcterms:W3CDTF">2025-05-27T19:35:00Z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