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280860A8" w:rsidR="002F52AF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2F52AF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</w:t>
      </w:r>
      <w:r w:rsidR="00126791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BA25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26791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MERO INCONFORMISMO.</w:t>
      </w:r>
    </w:p>
    <w:p w14:paraId="7D7D0A36" w14:textId="77777777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5C675147" w:rsidR="00E30AF2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negou provimento ao recurso de apelação.</w:t>
      </w:r>
    </w:p>
    <w:p w14:paraId="1106396E" w14:textId="35FFF5AE" w:rsidR="00BA254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77777777" w:rsidR="00537320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II.I. </w:t>
      </w: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acometimento do julgado por omissões.</w:t>
      </w:r>
    </w:p>
    <w:p w14:paraId="563527D9" w14:textId="77777777" w:rsidR="00537320" w:rsidRPr="00A33BD4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II.II. Pretensão de imposição de multa </w:t>
      </w:r>
      <w:r w:rsidRPr="006E643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pela interposição de embargos de declaração com propósito meramente protelatório.</w:t>
      </w:r>
    </w:p>
    <w:p w14:paraId="50469D27" w14:textId="77777777" w:rsidR="00537320" w:rsidRPr="00DE5767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77777777" w:rsidR="00537320" w:rsidRPr="00A33BD4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III.I. 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03B22C7F" w14:textId="77777777" w:rsidR="00537320" w:rsidRPr="00A33BD4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III.II. A simples interposição de embargos de declaração, sem comprovação de intenção de manifesta protelação, não permite imposição da multa correlata.</w:t>
      </w:r>
    </w:p>
    <w:p w14:paraId="32D3CD04" w14:textId="419422AC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212A6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Pr="00212A6C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A6C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</w:t>
      </w:r>
      <w:r w:rsidR="00895EF2" w:rsidRPr="00212A6C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212A6C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2A6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B0982B0" w14:textId="042A52C5" w:rsidR="001B4800" w:rsidRDefault="003F76F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9A06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733B0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João Pompeo Junior em face de Liliane Andre Lopes Pereira</w:t>
      </w:r>
      <w:r w:rsidR="00EB10E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r w:rsidR="003C7B8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tendo como</w:t>
      </w:r>
      <w:r w:rsidR="004E148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objeto o v. acórdão proferido pela 19ª Câmara Cível do Tribunal de Justiça do Estado do Paraná, </w:t>
      </w:r>
      <w:r w:rsidR="001B480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conheceu e negou provimento ao recurso de apelação do ora embargante (evento 40.1 – Ap).</w:t>
      </w:r>
    </w:p>
    <w:p w14:paraId="754B5B1B" w14:textId="7C135F35" w:rsidR="001B4800" w:rsidRDefault="00E6695D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a parte embargante, </w:t>
      </w:r>
      <w:r w:rsidR="005312A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síntese, o acometimento do julgado </w:t>
      </w:r>
      <w:r w:rsidR="00E260E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</w:t>
      </w:r>
      <w:r w:rsidR="001B480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omissões (evento 1.1).</w:t>
      </w:r>
    </w:p>
    <w:p w14:paraId="0B9A8BAC" w14:textId="787D032A" w:rsidR="00AF1FC0" w:rsidRDefault="00AD2EB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embargada se manifestou pel</w:t>
      </w:r>
      <w:r w:rsidR="00AF1F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desprovimento do recurso</w:t>
      </w:r>
      <w:r w:rsidR="0021087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com imposição de multa por seu caráter meramente protelatório (evento 10.1).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169609F7" w14:textId="0FB3176D" w:rsidR="00F65C7F" w:rsidRDefault="00F65C7F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inexiste incompatibilidade lógica interna, entre premissas ou premissa e conclusão, a configurar </w:t>
      </w:r>
      <w:r w:rsidR="00212A6C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contradição.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F40F01" w14:textId="01ED3029" w:rsidR="005028C4" w:rsidRPr="00A33BD4" w:rsidRDefault="002E4C4B" w:rsidP="005028C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="005028C4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PENALIDADE PROCESSUAL</w:t>
      </w:r>
    </w:p>
    <w:p w14:paraId="41F06A96" w14:textId="77777777" w:rsidR="005028C4" w:rsidRPr="00A33BD4" w:rsidRDefault="005028C4" w:rsidP="005028C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contrariamente ao argumentado pela parte embargada, o manejo do recurso em questão não ocorreu em excesso ao legítimo exercício das garantias processuais à ampla defesa e ao contraditório.</w:t>
      </w:r>
    </w:p>
    <w:p w14:paraId="3F35D26F" w14:textId="77777777" w:rsidR="005028C4" w:rsidRPr="00A33BD4" w:rsidRDefault="005028C4" w:rsidP="005028C4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Para caracterização da manifesta protelação, categoria instituída no artigo 1.026, § 2.º, do Código de Processo Civil, exige-se conduta dolosa da parte em procrastinar injustificadamente o procedimento.</w:t>
      </w:r>
    </w:p>
    <w:p w14:paraId="0ED6D347" w14:textId="77777777" w:rsidR="005028C4" w:rsidRPr="00A33BD4" w:rsidRDefault="005028C4" w:rsidP="005028C4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O exercício de legítimo direito à ampla defesa e ao contraditório, constitucionalmente previstos, não se subsome ao preceito primário da norma proibitiva.</w:t>
      </w:r>
    </w:p>
    <w:p w14:paraId="6274144C" w14:textId="77777777" w:rsidR="005028C4" w:rsidRPr="00A33BD4" w:rsidRDefault="005028C4" w:rsidP="005028C4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Neste sentido:</w:t>
      </w:r>
    </w:p>
    <w:p w14:paraId="1A3B88B8" w14:textId="77777777" w:rsidR="005028C4" w:rsidRPr="00A33BD4" w:rsidRDefault="005028C4" w:rsidP="005028C4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8F8BDE7" w14:textId="77777777" w:rsidR="005028C4" w:rsidRPr="00A33BD4" w:rsidRDefault="005028C4" w:rsidP="005028C4">
      <w:pPr>
        <w:spacing w:after="240" w:line="360" w:lineRule="auto"/>
        <w:ind w:left="2268"/>
        <w:jc w:val="both"/>
        <w:rPr>
          <w:rFonts w:ascii="Times New Roman" w:hAnsi="Times New Roman" w:cs="Times New Roman"/>
          <w:iCs/>
          <w:sz w:val="20"/>
          <w:szCs w:val="24"/>
        </w:rPr>
      </w:pPr>
      <w:r w:rsidRPr="00A33BD4">
        <w:rPr>
          <w:rFonts w:ascii="Times New Roman" w:hAnsi="Times New Roman" w:cs="Times New Roman"/>
          <w:iCs/>
          <w:sz w:val="20"/>
          <w:szCs w:val="24"/>
        </w:rPr>
        <w:t>CIVIL E PROCESSO CIVIL. AÇÃO DECLARATÓRIA DE INEXISTÊNCIA DE RELAÇÃO JURÍDICA E NULIDADE DE TÍTULOS DE CRÉDITO C/C COMPENSAÇÃO POR DANOS MORAIS. NEGATIVA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LV,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(STJ. Terceira Turma. Relatora: Ministra Nancy Andrighi. REsp n. 1.423.942/SP. Data de julgamento: 26-9-2017. Data de publicação: 29-9-2017).</w:t>
      </w:r>
    </w:p>
    <w:p w14:paraId="799A368F" w14:textId="77777777" w:rsidR="005028C4" w:rsidRPr="00A33BD4" w:rsidRDefault="005028C4" w:rsidP="005028C4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2C2BFEAA" w14:textId="77777777" w:rsidR="005028C4" w:rsidRPr="00A33BD4" w:rsidRDefault="005028C4" w:rsidP="005028C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Indefere-se, pois, a pretensão punitiva.</w:t>
      </w:r>
    </w:p>
    <w:p w14:paraId="444A1289" w14:textId="77777777" w:rsidR="00210873" w:rsidRDefault="00210873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407D34DF" w:rsidR="002E4C4B" w:rsidRDefault="005028C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II.IV </w:t>
      </w:r>
      <w:r w:rsidR="002E4C4B">
        <w:rPr>
          <w:rFonts w:ascii="Times New Roman" w:eastAsia="Times New Roman" w:hAnsi="Times New Roman" w:cs="Times New Roman"/>
          <w:sz w:val="24"/>
          <w:szCs w:val="24"/>
          <w:lang w:eastAsia="pt-BR"/>
        </w:rPr>
        <w:t>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877D6" w14:textId="77777777" w:rsidR="000B6B2B" w:rsidRDefault="000B6B2B" w:rsidP="00647C71">
      <w:pPr>
        <w:spacing w:after="0" w:line="240" w:lineRule="auto"/>
      </w:pPr>
      <w:r>
        <w:separator/>
      </w:r>
    </w:p>
  </w:endnote>
  <w:endnote w:type="continuationSeparator" w:id="0">
    <w:p w14:paraId="5F04E140" w14:textId="77777777" w:rsidR="000B6B2B" w:rsidRDefault="000B6B2B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F945F" w14:textId="77777777" w:rsidR="000B6B2B" w:rsidRDefault="000B6B2B" w:rsidP="00647C71">
      <w:pPr>
        <w:spacing w:after="0" w:line="240" w:lineRule="auto"/>
      </w:pPr>
      <w:r>
        <w:separator/>
      </w:r>
    </w:p>
  </w:footnote>
  <w:footnote w:type="continuationSeparator" w:id="0">
    <w:p w14:paraId="35F70F5F" w14:textId="77777777" w:rsidR="000B6B2B" w:rsidRDefault="000B6B2B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4800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3D6A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208DF"/>
    <w:rsid w:val="005215A8"/>
    <w:rsid w:val="00527F2B"/>
    <w:rsid w:val="005312AE"/>
    <w:rsid w:val="00531EC3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36B0"/>
    <w:rsid w:val="00E260E2"/>
    <w:rsid w:val="00E30AF2"/>
    <w:rsid w:val="00E32EC6"/>
    <w:rsid w:val="00E40C65"/>
    <w:rsid w:val="00E41DC6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898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141</cp:revision>
  <cp:lastPrinted>2023-02-01T16:46:00Z</cp:lastPrinted>
  <dcterms:created xsi:type="dcterms:W3CDTF">2023-06-15T19:39:00Z</dcterms:created>
  <dcterms:modified xsi:type="dcterms:W3CDTF">2025-07-09T20:28:00Z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