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C6E04" w14:textId="2CD441C9" w:rsidR="00EB7F57" w:rsidRDefault="00146748" w:rsidP="00146748">
      <w:pPr>
        <w:ind w:firstLine="0"/>
        <w:rPr>
          <w:b/>
        </w:rPr>
      </w:pPr>
      <w:r w:rsidRPr="00146748">
        <w:rPr>
          <w:b/>
        </w:rPr>
        <w:t xml:space="preserve">DIREITO </w:t>
      </w:r>
      <w:r w:rsidR="007045F2">
        <w:rPr>
          <w:b/>
        </w:rPr>
        <w:t xml:space="preserve">CIVIL E </w:t>
      </w:r>
      <w:r w:rsidRPr="00146748">
        <w:rPr>
          <w:b/>
        </w:rPr>
        <w:t>PROCESSUAL CIVIL.</w:t>
      </w:r>
      <w:r w:rsidR="00EB7F57">
        <w:rPr>
          <w:b/>
        </w:rPr>
        <w:t xml:space="preserve"> </w:t>
      </w:r>
      <w:r w:rsidR="007045F2">
        <w:rPr>
          <w:b/>
        </w:rPr>
        <w:t>APELAÇÃO CÍVEL.</w:t>
      </w:r>
      <w:r w:rsidR="00EB7F57">
        <w:rPr>
          <w:b/>
        </w:rPr>
        <w:t xml:space="preserve"> </w:t>
      </w:r>
      <w:r w:rsidR="007045F2">
        <w:rPr>
          <w:b/>
        </w:rPr>
        <w:t>BUSCA E APREENSÃO.</w:t>
      </w:r>
      <w:r w:rsidR="00EB7F57">
        <w:rPr>
          <w:b/>
        </w:rPr>
        <w:t xml:space="preserve"> </w:t>
      </w:r>
      <w:r w:rsidR="007045F2">
        <w:rPr>
          <w:b/>
        </w:rPr>
        <w:t>ALIENAÇÃO FIDUCIÁRIA.</w:t>
      </w:r>
      <w:r w:rsidR="00EB7F57">
        <w:rPr>
          <w:b/>
        </w:rPr>
        <w:t xml:space="preserve"> DESISTÊNCIA. HOMOLOGAÇÃO. ASSINATURA DIGITAL. VALIDADE JURÍDICA.</w:t>
      </w:r>
    </w:p>
    <w:p w14:paraId="153FB66C" w14:textId="2D13F696" w:rsidR="00146748" w:rsidRDefault="00146748" w:rsidP="00146748">
      <w:pPr>
        <w:ind w:firstLine="0"/>
        <w:rPr>
          <w:b/>
        </w:rPr>
      </w:pPr>
      <w:r w:rsidRPr="00146748">
        <w:rPr>
          <w:b/>
        </w:rPr>
        <w:t>I. CASO EM EXAME</w:t>
      </w:r>
    </w:p>
    <w:p w14:paraId="4BEE2627" w14:textId="5D3F3D85" w:rsidR="008A53C5" w:rsidRPr="00146748" w:rsidRDefault="00336B9D" w:rsidP="00146748">
      <w:pPr>
        <w:ind w:firstLine="0"/>
        <w:rPr>
          <w:b/>
        </w:rPr>
      </w:pPr>
      <w:r>
        <w:rPr>
          <w:b/>
        </w:rPr>
        <w:t>Recursos de apelação interpostos contra sentença de indeferimento da petição inicial,</w:t>
      </w:r>
      <w:r w:rsidR="002E4E94">
        <w:rPr>
          <w:b/>
        </w:rPr>
        <w:t xml:space="preserve"> que reputou inválida assinatura digital não certificada pelo ICP – Brasil, para fins de instrução de ação de busca e apreensão.</w:t>
      </w:r>
    </w:p>
    <w:p w14:paraId="02435230" w14:textId="047C203C" w:rsidR="00146748" w:rsidRDefault="00146748" w:rsidP="00146748">
      <w:pPr>
        <w:ind w:firstLine="0"/>
        <w:rPr>
          <w:b/>
        </w:rPr>
      </w:pPr>
      <w:r w:rsidRPr="00146748">
        <w:rPr>
          <w:b/>
        </w:rPr>
        <w:t>II. QUEST</w:t>
      </w:r>
      <w:r w:rsidR="00254A55">
        <w:rPr>
          <w:b/>
        </w:rPr>
        <w:t>ÕES</w:t>
      </w:r>
      <w:r w:rsidRPr="00146748">
        <w:rPr>
          <w:b/>
        </w:rPr>
        <w:t xml:space="preserve"> EM DISCUSSÃO</w:t>
      </w:r>
    </w:p>
    <w:p w14:paraId="76AF4CF0" w14:textId="40D399B4" w:rsidR="008A53C5" w:rsidRDefault="008A53C5" w:rsidP="00146748">
      <w:pPr>
        <w:ind w:firstLine="0"/>
        <w:rPr>
          <w:b/>
        </w:rPr>
      </w:pPr>
      <w:r>
        <w:rPr>
          <w:b/>
        </w:rPr>
        <w:t>II.I. Homologação de desistência recursal.</w:t>
      </w:r>
    </w:p>
    <w:p w14:paraId="291C7868" w14:textId="4BE41603" w:rsidR="008A53C5" w:rsidRPr="00146748" w:rsidRDefault="008A53C5" w:rsidP="00146748">
      <w:pPr>
        <w:ind w:firstLine="0"/>
        <w:rPr>
          <w:b/>
        </w:rPr>
      </w:pPr>
      <w:r>
        <w:rPr>
          <w:b/>
        </w:rPr>
        <w:t>II.II. Validade de assinatura digital realizada em plataforma não inscrita na infraestrutura de chaves brasileiras.</w:t>
      </w:r>
    </w:p>
    <w:p w14:paraId="300AFE19" w14:textId="77777777" w:rsidR="00146748" w:rsidRDefault="00146748" w:rsidP="00146748">
      <w:pPr>
        <w:ind w:firstLine="0"/>
        <w:rPr>
          <w:b/>
        </w:rPr>
      </w:pPr>
      <w:r w:rsidRPr="00146748">
        <w:rPr>
          <w:b/>
        </w:rPr>
        <w:t>III. RAZÕES DE DECIDIR</w:t>
      </w:r>
    </w:p>
    <w:p w14:paraId="5A9A4050" w14:textId="5B281B63" w:rsidR="001317BB" w:rsidRDefault="002E4E94" w:rsidP="000B63CB">
      <w:pPr>
        <w:pStyle w:val="NormalWeb"/>
        <w:spacing w:after="240" w:line="360" w:lineRule="auto"/>
        <w:jc w:val="both"/>
        <w:rPr>
          <w:b/>
        </w:rPr>
      </w:pPr>
      <w:proofErr w:type="spellStart"/>
      <w:r>
        <w:rPr>
          <w:b/>
        </w:rPr>
        <w:t>III.I</w:t>
      </w:r>
      <w:proofErr w:type="spellEnd"/>
      <w:r w:rsidR="00955AFB">
        <w:rPr>
          <w:b/>
        </w:rPr>
        <w:t xml:space="preserve">. </w:t>
      </w:r>
      <w:r w:rsidR="000B63CB">
        <w:rPr>
          <w:rStyle w:val="Forte"/>
        </w:rPr>
        <w:t>A homologação da desistência do recurso, com o consequente esvaziamento do interesse, enseja juízo negativo de admissibilidade.</w:t>
      </w:r>
    </w:p>
    <w:p w14:paraId="0F0909AF" w14:textId="780806AD" w:rsidR="008A53C5" w:rsidRDefault="001317BB" w:rsidP="00146748">
      <w:pPr>
        <w:ind w:firstLine="0"/>
        <w:rPr>
          <w:b/>
        </w:rPr>
      </w:pPr>
      <w:proofErr w:type="spellStart"/>
      <w:r>
        <w:rPr>
          <w:b/>
        </w:rPr>
        <w:t>III.II</w:t>
      </w:r>
      <w:proofErr w:type="spellEnd"/>
      <w:r>
        <w:rPr>
          <w:b/>
        </w:rPr>
        <w:t xml:space="preserve">. </w:t>
      </w:r>
      <w:r w:rsidR="00AD2A8C">
        <w:rPr>
          <w:b/>
        </w:rPr>
        <w:t>Considera-se válida a assinatura digital que, embora não certificada pelo ICP -Brasil, possua meios de comprovação d</w:t>
      </w:r>
      <w:r w:rsidR="00167770">
        <w:rPr>
          <w:b/>
        </w:rPr>
        <w:t>a autoria e integridade, realizada em documento aceito pelas partes.</w:t>
      </w:r>
    </w:p>
    <w:p w14:paraId="6AF28E16" w14:textId="77777777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IV. SOLUÇÃO DO CASO</w:t>
      </w:r>
    </w:p>
    <w:p w14:paraId="7641D84D" w14:textId="754CD51D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Recurso</w:t>
      </w:r>
      <w:r w:rsidR="007045F2">
        <w:rPr>
          <w:b/>
        </w:rPr>
        <w:t xml:space="preserve"> 1 não conhecido. Recurso 2 conhecido e provido.</w:t>
      </w:r>
    </w:p>
    <w:p w14:paraId="34905683" w14:textId="72DC769A" w:rsidR="00146748" w:rsidRPr="00146748" w:rsidRDefault="00146748" w:rsidP="00146748">
      <w:pPr>
        <w:ind w:firstLine="0"/>
        <w:rPr>
          <w:b/>
        </w:rPr>
      </w:pPr>
      <w:r w:rsidRPr="00146748">
        <w:rPr>
          <w:b/>
        </w:rPr>
        <w:t>V. JURISPRUDÊNCIA E LEGISLAÇÃO UTILIZADAS</w:t>
      </w:r>
    </w:p>
    <w:p w14:paraId="2053A593" w14:textId="03046142" w:rsidR="00146748" w:rsidRPr="000B63CB" w:rsidRDefault="00254A55" w:rsidP="00146748">
      <w:pPr>
        <w:ind w:firstLine="0"/>
        <w:rPr>
          <w:b/>
          <w:szCs w:val="24"/>
        </w:rPr>
      </w:pPr>
      <w:r w:rsidRPr="000B63CB">
        <w:rPr>
          <w:b/>
          <w:szCs w:val="24"/>
        </w:rPr>
        <w:t xml:space="preserve">V.I. </w:t>
      </w:r>
      <w:r w:rsidR="00146748" w:rsidRPr="000B63CB">
        <w:rPr>
          <w:b/>
          <w:szCs w:val="24"/>
        </w:rPr>
        <w:t>Jurisprudência</w:t>
      </w:r>
    </w:p>
    <w:p w14:paraId="5B85B384" w14:textId="5132FA86" w:rsidR="000B63CB" w:rsidRPr="000B63CB" w:rsidRDefault="000B63CB" w:rsidP="00146748">
      <w:pPr>
        <w:ind w:firstLine="0"/>
        <w:rPr>
          <w:b/>
          <w:szCs w:val="24"/>
        </w:rPr>
      </w:pPr>
      <w:proofErr w:type="spellStart"/>
      <w:r w:rsidRPr="000B63CB">
        <w:rPr>
          <w:b/>
          <w:szCs w:val="24"/>
        </w:rPr>
        <w:t>TJPR</w:t>
      </w:r>
      <w:proofErr w:type="spellEnd"/>
      <w:r w:rsidRPr="000B63CB">
        <w:rPr>
          <w:b/>
          <w:szCs w:val="24"/>
        </w:rPr>
        <w:t>. 19ª Câmara Cível. Relator: Desembargador Andrei de Oliveira Rech. 0007355-69.2025.8.16.0000. Toledo. Data de julgamento: 14-04-2025</w:t>
      </w:r>
      <w:r w:rsidRPr="000B63CB">
        <w:rPr>
          <w:b/>
          <w:szCs w:val="24"/>
        </w:rPr>
        <w:t>;</w:t>
      </w:r>
    </w:p>
    <w:p w14:paraId="7FA17D7B" w14:textId="2BC1BCEC" w:rsidR="000B63CB" w:rsidRPr="000B63CB" w:rsidRDefault="000B63CB" w:rsidP="00146748">
      <w:pPr>
        <w:ind w:firstLine="0"/>
        <w:rPr>
          <w:b/>
          <w:szCs w:val="24"/>
        </w:rPr>
      </w:pPr>
      <w:r w:rsidRPr="000B63CB">
        <w:rPr>
          <w:b/>
          <w:szCs w:val="24"/>
        </w:rPr>
        <w:t xml:space="preserve">STJ. Terceira Turma. Relator: Ministro Ricardo Villas Bôas </w:t>
      </w:r>
      <w:proofErr w:type="spellStart"/>
      <w:r w:rsidRPr="000B63CB">
        <w:rPr>
          <w:b/>
          <w:szCs w:val="24"/>
        </w:rPr>
        <w:t>Cueva</w:t>
      </w:r>
      <w:proofErr w:type="spellEnd"/>
      <w:r w:rsidRPr="000B63CB">
        <w:rPr>
          <w:b/>
          <w:szCs w:val="24"/>
        </w:rPr>
        <w:t xml:space="preserve">. </w:t>
      </w:r>
      <w:proofErr w:type="spellStart"/>
      <w:r w:rsidRPr="000B63CB">
        <w:rPr>
          <w:b/>
          <w:szCs w:val="24"/>
        </w:rPr>
        <w:t>AgInt</w:t>
      </w:r>
      <w:proofErr w:type="spellEnd"/>
      <w:r w:rsidRPr="000B63CB">
        <w:rPr>
          <w:b/>
          <w:szCs w:val="24"/>
        </w:rPr>
        <w:t xml:space="preserve"> no REsp n. 2.163.004/DF. Data de julgamento: 28-10-2024. Data de publicação: 04-11-2024</w:t>
      </w:r>
      <w:r w:rsidRPr="000B63CB">
        <w:rPr>
          <w:b/>
          <w:szCs w:val="24"/>
        </w:rPr>
        <w:t>.</w:t>
      </w:r>
    </w:p>
    <w:p w14:paraId="4403C4E7" w14:textId="7B07ADF2" w:rsidR="00146748" w:rsidRDefault="00254A55" w:rsidP="00146748">
      <w:pPr>
        <w:ind w:firstLine="0"/>
        <w:rPr>
          <w:b/>
        </w:rPr>
      </w:pPr>
      <w:proofErr w:type="spellStart"/>
      <w:r>
        <w:rPr>
          <w:b/>
        </w:rPr>
        <w:t>V.II</w:t>
      </w:r>
      <w:proofErr w:type="spellEnd"/>
      <w:r>
        <w:rPr>
          <w:b/>
        </w:rPr>
        <w:t xml:space="preserve">. </w:t>
      </w:r>
      <w:r w:rsidR="00146748" w:rsidRPr="00146748">
        <w:rPr>
          <w:b/>
        </w:rPr>
        <w:t>Legislação</w:t>
      </w:r>
    </w:p>
    <w:p w14:paraId="4B5FDDD2" w14:textId="43EDBF9A" w:rsidR="000B63CB" w:rsidRDefault="000B63CB" w:rsidP="00146748">
      <w:pPr>
        <w:ind w:firstLine="0"/>
        <w:rPr>
          <w:b/>
        </w:rPr>
      </w:pPr>
      <w:r>
        <w:rPr>
          <w:b/>
        </w:rPr>
        <w:t xml:space="preserve">Código de Processo </w:t>
      </w:r>
      <w:proofErr w:type="spellStart"/>
      <w:r>
        <w:rPr>
          <w:b/>
        </w:rPr>
        <w:t>Civi</w:t>
      </w:r>
      <w:proofErr w:type="spellEnd"/>
      <w:r>
        <w:rPr>
          <w:b/>
        </w:rPr>
        <w:t xml:space="preserve">: </w:t>
      </w:r>
      <w:r w:rsidR="00407177">
        <w:rPr>
          <w:b/>
        </w:rPr>
        <w:t>art. 998.</w:t>
      </w:r>
    </w:p>
    <w:p w14:paraId="306BA93D" w14:textId="77777777" w:rsidR="00407177" w:rsidRDefault="00407177" w:rsidP="00407177">
      <w:pPr>
        <w:ind w:firstLine="0"/>
        <w:rPr>
          <w:b/>
        </w:rPr>
      </w:pPr>
      <w:r>
        <w:rPr>
          <w:b/>
        </w:rPr>
        <w:t xml:space="preserve">Lei n. </w:t>
      </w:r>
      <w:r w:rsidR="000B63CB" w:rsidRPr="000B63CB">
        <w:rPr>
          <w:b/>
        </w:rPr>
        <w:t>14.063 de 2020</w:t>
      </w:r>
      <w:r>
        <w:rPr>
          <w:b/>
        </w:rPr>
        <w:t xml:space="preserve">: art. </w:t>
      </w:r>
      <w:r w:rsidRPr="000B63CB">
        <w:rPr>
          <w:b/>
        </w:rPr>
        <w:t>4º, inciso II</w:t>
      </w:r>
      <w:r>
        <w:rPr>
          <w:b/>
        </w:rPr>
        <w:t>.</w:t>
      </w:r>
    </w:p>
    <w:p w14:paraId="0D3CCEEE" w14:textId="58EC9C3D" w:rsidR="000B63CB" w:rsidRPr="00407177" w:rsidRDefault="000B63CB" w:rsidP="00407177">
      <w:pPr>
        <w:ind w:firstLine="0"/>
        <w:rPr>
          <w:b/>
          <w:bCs/>
        </w:rPr>
      </w:pPr>
      <w:r w:rsidRPr="00407177">
        <w:rPr>
          <w:b/>
          <w:bCs/>
        </w:rPr>
        <w:t>Lei n. 12.965 de 2014</w:t>
      </w:r>
      <w:r w:rsidR="00407177" w:rsidRPr="00407177">
        <w:rPr>
          <w:b/>
          <w:bCs/>
        </w:rPr>
        <w:t xml:space="preserve">: </w:t>
      </w:r>
      <w:r w:rsidRPr="00407177">
        <w:rPr>
          <w:b/>
          <w:bCs/>
        </w:rPr>
        <w:t>art. 3º, VII e VIII; art. 4º, I.</w:t>
      </w:r>
    </w:p>
    <w:p w14:paraId="72B061D6" w14:textId="77777777" w:rsidR="00407177" w:rsidRDefault="00407177" w:rsidP="00AA28DF">
      <w:pPr>
        <w:pStyle w:val="PargrafodaLista"/>
        <w:ind w:left="0"/>
        <w:contextualSpacing w:val="0"/>
      </w:pPr>
    </w:p>
    <w:p w14:paraId="4F2D2C21" w14:textId="072A0938"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14:paraId="37FE9E34" w14:textId="538BA697" w:rsidR="00733A07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733A07">
        <w:t>recursos de apelação interpostos por Banco Pan S. A.</w:t>
      </w:r>
      <w:r w:rsidR="003161FC">
        <w:t xml:space="preserve"> e Rodrigo Luiz </w:t>
      </w:r>
      <w:proofErr w:type="spellStart"/>
      <w:r w:rsidR="003161FC">
        <w:t>Saucedo</w:t>
      </w:r>
      <w:proofErr w:type="spellEnd"/>
      <w:r w:rsidR="003161FC">
        <w:t>, tendo como objeto sentença proferida pelo juízo da 2ª Vara Cível de Foz do Iguaçu</w:t>
      </w:r>
      <w:r w:rsidR="00350B46">
        <w:t>, que indeferiu a petição inicial</w:t>
      </w:r>
      <w:r w:rsidR="006C441C">
        <w:t xml:space="preserve"> sob o fundamento de </w:t>
      </w:r>
      <w:r w:rsidR="00BC1FB5">
        <w:t xml:space="preserve">invalidade da </w:t>
      </w:r>
      <w:r w:rsidR="006C441C">
        <w:t>assinatura digital do contrato de financiamento com alienação fiduciária</w:t>
      </w:r>
      <w:r w:rsidR="00F75486">
        <w:t xml:space="preserve">, </w:t>
      </w:r>
      <w:r w:rsidR="00D22686">
        <w:t xml:space="preserve">realizada em plataforma não cadastrada perante a infraestrutura de chaves públicas brasileira </w:t>
      </w:r>
      <w:r w:rsidR="00BC1FB5">
        <w:t>(evento 24.1 – autos de origem).</w:t>
      </w:r>
    </w:p>
    <w:p w14:paraId="02CA260F" w14:textId="77777777" w:rsidR="00DE19A9" w:rsidRDefault="000E0E38" w:rsidP="00DE19A9">
      <w:pPr>
        <w:pStyle w:val="PargrafodaLista"/>
        <w:ind w:left="0"/>
        <w:contextualSpacing w:val="0"/>
      </w:pPr>
      <w:r>
        <w:t xml:space="preserve">Após interpor apelação (evento 27.1 – autos de origem), Rodrigo Luiz </w:t>
      </w:r>
      <w:proofErr w:type="spellStart"/>
      <w:r>
        <w:t>Saucedo</w:t>
      </w:r>
      <w:proofErr w:type="spellEnd"/>
      <w:r>
        <w:t xml:space="preserve"> manifestou </w:t>
      </w:r>
      <w:r w:rsidR="00CA0400">
        <w:t>desistência do recurso (evento 71.1 – autos de origem).</w:t>
      </w:r>
    </w:p>
    <w:p w14:paraId="5346747D" w14:textId="6220280E" w:rsidR="00F5729A" w:rsidRDefault="00CA0400" w:rsidP="00AA28DF">
      <w:pPr>
        <w:pStyle w:val="PargrafodaLista"/>
        <w:ind w:left="0"/>
        <w:contextualSpacing w:val="0"/>
      </w:pPr>
      <w:r>
        <w:t>O Banco Pan S.A., por sua vez, aduziu, nas razões de inconformismo, que:</w:t>
      </w:r>
      <w:r w:rsidR="00F5729A">
        <w:t xml:space="preserve"> a)</w:t>
      </w:r>
      <w:r w:rsidR="00A60BA9">
        <w:t xml:space="preserve"> a</w:t>
      </w:r>
      <w:r w:rsidR="00541C02">
        <w:t xml:space="preserve"> inscrição da entidade certificadora perante a infraestrutura de chaves públicas brasileira não é condição </w:t>
      </w:r>
      <w:proofErr w:type="spellStart"/>
      <w:r w:rsidR="00541C02">
        <w:rPr>
          <w:i/>
          <w:iCs/>
        </w:rPr>
        <w:t>sine</w:t>
      </w:r>
      <w:proofErr w:type="spellEnd"/>
      <w:r w:rsidR="00541C02">
        <w:rPr>
          <w:i/>
          <w:iCs/>
        </w:rPr>
        <w:t xml:space="preserve"> </w:t>
      </w:r>
      <w:proofErr w:type="spellStart"/>
      <w:r w:rsidR="00541C02">
        <w:rPr>
          <w:i/>
          <w:iCs/>
        </w:rPr>
        <w:t>qua</w:t>
      </w:r>
      <w:proofErr w:type="spellEnd"/>
      <w:r w:rsidR="00541C02">
        <w:rPr>
          <w:i/>
          <w:iCs/>
        </w:rPr>
        <w:t xml:space="preserve"> non </w:t>
      </w:r>
      <w:r w:rsidR="00541C02">
        <w:t xml:space="preserve">de validade da assinatura digita, cuja autenticidade pode ser aferida por outros meios; </w:t>
      </w:r>
      <w:r w:rsidR="00F5729A">
        <w:t xml:space="preserve">b) </w:t>
      </w:r>
      <w:r w:rsidR="00353A4F">
        <w:t xml:space="preserve">o documento foi declarado autêntico por advogado, que, por expressa previsão legal, possui fé pública (evento </w:t>
      </w:r>
      <w:r w:rsidR="00A60BA9">
        <w:t>30.1 – autos de origem).</w:t>
      </w:r>
    </w:p>
    <w:p w14:paraId="5BCDBC18" w14:textId="5F4C4ADA" w:rsidR="000B6152" w:rsidRDefault="000B6152" w:rsidP="00AA28DF">
      <w:pPr>
        <w:pStyle w:val="PargrafodaLista"/>
        <w:ind w:left="0"/>
        <w:contextualSpacing w:val="0"/>
      </w:pPr>
      <w:r>
        <w:t xml:space="preserve">Nas contrarrazões, </w:t>
      </w:r>
      <w:r w:rsidR="002E7446">
        <w:t xml:space="preserve">o apelado </w:t>
      </w:r>
      <w:r w:rsidR="001048CF">
        <w:t>limitou-se a argumentar</w:t>
      </w:r>
      <w:r w:rsidR="002E7446">
        <w:t xml:space="preserve"> que os juros contratados são abusi</w:t>
      </w:r>
      <w:r w:rsidR="001048CF">
        <w:t>v</w:t>
      </w:r>
      <w:r w:rsidR="002E7446">
        <w:t>os</w:t>
      </w:r>
      <w:r w:rsidR="001048CF">
        <w:t xml:space="preserve"> (evento 38.1 – autos de origem).</w:t>
      </w:r>
    </w:p>
    <w:p w14:paraId="5A480162" w14:textId="77777777"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14:paraId="1769E6BE" w14:textId="77777777" w:rsidR="00AA28DF" w:rsidRDefault="00AA28DF" w:rsidP="00877419">
      <w:pPr>
        <w:pStyle w:val="PargrafodaLista"/>
        <w:ind w:left="0"/>
        <w:contextualSpacing w:val="0"/>
      </w:pPr>
    </w:p>
    <w:p w14:paraId="54C5CE34" w14:textId="77777777"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14:paraId="43849029" w14:textId="77777777" w:rsidR="00AA28DF" w:rsidRDefault="00AA28DF" w:rsidP="00877419">
      <w:pPr>
        <w:pStyle w:val="PargrafodaLista"/>
        <w:ind w:left="0"/>
        <w:contextualSpacing w:val="0"/>
      </w:pPr>
      <w:r>
        <w:t>II.I – DO JUÍZO DE ADMISSIBILIDADE</w:t>
      </w:r>
    </w:p>
    <w:p w14:paraId="6DC3F432" w14:textId="7C4C18D2" w:rsidR="002146CB" w:rsidRDefault="00BE5B43" w:rsidP="00877419">
      <w:pPr>
        <w:pStyle w:val="PargrafodaLista"/>
        <w:ind w:left="0"/>
        <w:contextualSpacing w:val="0"/>
      </w:pPr>
      <w:proofErr w:type="spellStart"/>
      <w:r>
        <w:t>II.I.I</w:t>
      </w:r>
      <w:proofErr w:type="spellEnd"/>
      <w:r>
        <w:t xml:space="preserve"> – DO RECURSO DE RODRIGO LUIZ </w:t>
      </w:r>
      <w:proofErr w:type="spellStart"/>
      <w:r>
        <w:t>SAUCEDO</w:t>
      </w:r>
      <w:proofErr w:type="spellEnd"/>
    </w:p>
    <w:p w14:paraId="570F4E97" w14:textId="21C4A1BC" w:rsidR="008D5052" w:rsidRDefault="00FF7929" w:rsidP="008D5052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 xml:space="preserve">Homologa-se o requerimento de desistência recursal, para que produza seus legais e jurídicos efeitos, </w:t>
      </w:r>
      <w:r>
        <w:rPr>
          <w:i/>
          <w:iCs/>
        </w:rPr>
        <w:t>ex vi</w:t>
      </w:r>
      <w:r>
        <w:t xml:space="preserve"> do disposto no artigo 998 do Código de Processo Civil (evento </w:t>
      </w:r>
      <w:r w:rsidR="008D5052">
        <w:t>71.1 – autos de origem).</w:t>
      </w:r>
    </w:p>
    <w:p w14:paraId="73D01A66" w14:textId="2F20FF2C" w:rsidR="00FF7929" w:rsidRDefault="00FF7929" w:rsidP="00FF7929">
      <w:pPr>
        <w:pStyle w:val="NormalWeb"/>
        <w:spacing w:before="120" w:beforeAutospacing="0" w:after="240" w:afterAutospacing="0" w:line="360" w:lineRule="auto"/>
        <w:ind w:firstLine="709"/>
        <w:jc w:val="both"/>
      </w:pPr>
      <w:r>
        <w:t>Como consequência</w:t>
      </w:r>
      <w:r w:rsidR="008D5052">
        <w:t xml:space="preserve"> da perda superveniente do interesse</w:t>
      </w:r>
      <w:r>
        <w:t>, impõe-se juízo negativo de admissibilidad</w:t>
      </w:r>
      <w:r w:rsidR="008D5052">
        <w:t>e.</w:t>
      </w:r>
    </w:p>
    <w:p w14:paraId="73B16F75" w14:textId="77777777" w:rsidR="00275D59" w:rsidRDefault="00275D59" w:rsidP="00877419">
      <w:pPr>
        <w:pStyle w:val="PargrafodaLista"/>
        <w:ind w:left="0"/>
        <w:contextualSpacing w:val="0"/>
      </w:pPr>
    </w:p>
    <w:p w14:paraId="762A0138" w14:textId="4B0CE788" w:rsidR="00BE5B43" w:rsidRDefault="00BE5B43" w:rsidP="00877419">
      <w:pPr>
        <w:pStyle w:val="PargrafodaLista"/>
        <w:ind w:left="0"/>
        <w:contextualSpacing w:val="0"/>
      </w:pPr>
      <w:proofErr w:type="spellStart"/>
      <w:r>
        <w:t>II.I.II</w:t>
      </w:r>
      <w:proofErr w:type="spellEnd"/>
      <w:r>
        <w:t xml:space="preserve"> – DO RECURSO DO BANCO PAN S. A.</w:t>
      </w:r>
    </w:p>
    <w:p w14:paraId="6AE699B3" w14:textId="1D248517" w:rsidR="00BE5B43" w:rsidRDefault="00275D59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14:paraId="6D5C21E3" w14:textId="77777777" w:rsidR="00275D59" w:rsidRDefault="00275D59" w:rsidP="00877419">
      <w:pPr>
        <w:pStyle w:val="PargrafodaLista"/>
        <w:ind w:left="0"/>
        <w:contextualSpacing w:val="0"/>
      </w:pPr>
    </w:p>
    <w:p w14:paraId="34F6E739" w14:textId="333374B9" w:rsidR="00BE5B43" w:rsidRDefault="00BE5B43" w:rsidP="00877419">
      <w:pPr>
        <w:pStyle w:val="PargrafodaLista"/>
        <w:ind w:left="0"/>
        <w:contextualSpacing w:val="0"/>
      </w:pPr>
      <w:r>
        <w:t>II</w:t>
      </w:r>
      <w:r w:rsidR="00756F7D">
        <w:t xml:space="preserve">.II – </w:t>
      </w:r>
      <w:r w:rsidR="0004690F">
        <w:t>DA ASSINATURA ELETRÔNICA</w:t>
      </w:r>
    </w:p>
    <w:p w14:paraId="016B89E8" w14:textId="7B949513" w:rsidR="00842E0D" w:rsidRDefault="00E6450D" w:rsidP="00877419">
      <w:pPr>
        <w:pStyle w:val="PargrafodaLista"/>
        <w:ind w:left="0"/>
        <w:contextualSpacing w:val="0"/>
      </w:pPr>
      <w:r>
        <w:t xml:space="preserve">A controvérsia recursal consiste </w:t>
      </w:r>
      <w:r w:rsidR="000E4B82">
        <w:t xml:space="preserve">na definição da validade jurídica de assinatura digital em contrato de mútuo bancário, com cláusula de alienação fiduciária, para </w:t>
      </w:r>
      <w:r w:rsidR="009F72B9">
        <w:t>fins de instrução de ação de busca e apreensão.</w:t>
      </w:r>
    </w:p>
    <w:p w14:paraId="2E9BB097" w14:textId="250602BF" w:rsidR="009F72B9" w:rsidRDefault="009F72B9" w:rsidP="00877419">
      <w:pPr>
        <w:pStyle w:val="PargrafodaLista"/>
        <w:ind w:left="0"/>
        <w:contextualSpacing w:val="0"/>
      </w:pPr>
      <w:r>
        <w:t xml:space="preserve">Em que pesem os fundamentos da sentença impugnada, no sentido de que somente seriam validas assinaturas realizadas por plataformas certificadas pela infraestrutura de chaves </w:t>
      </w:r>
      <w:r w:rsidR="00A94BBD">
        <w:t>públicas brasileira</w:t>
      </w:r>
      <w:r w:rsidR="004F6E55">
        <w:t xml:space="preserve"> (ICP – Brasil)</w:t>
      </w:r>
      <w:r w:rsidR="00A94BBD">
        <w:t xml:space="preserve">, </w:t>
      </w:r>
      <w:r w:rsidR="00860DFE">
        <w:t xml:space="preserve">a disciplina legal da matéria não estabeleceu </w:t>
      </w:r>
      <w:r w:rsidR="00510484">
        <w:t>indigitado requisito como condição absoluta de validade da assinatura digital.</w:t>
      </w:r>
    </w:p>
    <w:p w14:paraId="141629F8" w14:textId="3077638C" w:rsidR="00510484" w:rsidRDefault="00826D16" w:rsidP="00877419">
      <w:pPr>
        <w:pStyle w:val="PargrafodaLista"/>
        <w:ind w:left="0"/>
        <w:contextualSpacing w:val="0"/>
      </w:pPr>
      <w:r>
        <w:t xml:space="preserve">O artigo </w:t>
      </w:r>
      <w:r w:rsidR="003373C5">
        <w:t xml:space="preserve">4º, inciso II, da Lei n. 14.063 de 2020 </w:t>
      </w:r>
      <w:r w:rsidR="004F6E55">
        <w:t xml:space="preserve">admite a validade da assinatura eletrônica qualificada, tanto assim considerada aquela que, embora não certificada pelo ICP – Brasil, </w:t>
      </w:r>
      <w:r w:rsidR="00683344">
        <w:t>possua meios de comprovação da autoria e da integridade de documentos, desde que admitido pelas partes.</w:t>
      </w:r>
    </w:p>
    <w:p w14:paraId="096D12D5" w14:textId="78F67D24" w:rsidR="00683344" w:rsidRDefault="00E06640" w:rsidP="00877419">
      <w:pPr>
        <w:pStyle w:val="PargrafodaLista"/>
        <w:ind w:left="0"/>
        <w:contextualSpacing w:val="0"/>
      </w:pPr>
      <w:r>
        <w:t>Sobre o tema, eis a jurisprudência:</w:t>
      </w:r>
    </w:p>
    <w:p w14:paraId="6095C8EC" w14:textId="77777777" w:rsidR="00E06640" w:rsidRDefault="00E06640" w:rsidP="00877419">
      <w:pPr>
        <w:pStyle w:val="PargrafodaLista"/>
        <w:ind w:left="0"/>
        <w:contextualSpacing w:val="0"/>
      </w:pPr>
    </w:p>
    <w:p w14:paraId="01313C9F" w14:textId="77777777" w:rsidR="00190AE6" w:rsidRDefault="00842E0D" w:rsidP="00190AE6">
      <w:pPr>
        <w:pStyle w:val="PargrafodaLista"/>
        <w:ind w:left="2268" w:firstLine="0"/>
        <w:rPr>
          <w:sz w:val="20"/>
          <w:szCs w:val="18"/>
        </w:rPr>
      </w:pPr>
      <w:r w:rsidRPr="00C07793">
        <w:rPr>
          <w:sz w:val="20"/>
          <w:szCs w:val="18"/>
        </w:rPr>
        <w:t>Direito processual civil e direito contratual. Agravo de Instrumento. Validade da assinatura eletrônica em contrato de financiamento. Recurso não provido. I. Caso em exame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1. Agravo de Instrumento interposto contra decisão interlocutória que concedeu liminar de busca e apreensão em ação de busca e apreensão, fundamentada na relação jurídica entre as partes e na mora do réu, sendo questionada a validade da assinatura digital do contrato de financiamento, realizada por plataforma não cadastrada no sistema ICP-Brasil, além de requerer a concessão dos benefícios da justiça gratuita e tutela de urgência para assegurar a posse do veículo.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II. Questão em discussão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2. A questão em discussão consiste em saber se é válida a assinatura eletrônica realizada via plataforma "</w:t>
      </w:r>
      <w:proofErr w:type="spellStart"/>
      <w:r w:rsidRPr="00C07793">
        <w:rPr>
          <w:sz w:val="20"/>
          <w:szCs w:val="18"/>
        </w:rPr>
        <w:t>DocuSign</w:t>
      </w:r>
      <w:proofErr w:type="spellEnd"/>
      <w:r w:rsidRPr="00C07793">
        <w:rPr>
          <w:sz w:val="20"/>
          <w:szCs w:val="18"/>
        </w:rPr>
        <w:t>" em contrato de financiamento com alienação fiduciária, mesmo sem certificação pelo ICP-Brasil.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III. Razões de decidir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3. Os documentos demonstram que o agravante comprovou a insuficiência de recursos, justificando a manutenção dos benefícios da justiça gratuita.</w:t>
      </w:r>
      <w:r w:rsidR="00DB1428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4. A assinatura eletrônica realizada via plataforma "</w:t>
      </w:r>
      <w:proofErr w:type="spellStart"/>
      <w:r w:rsidRPr="00C07793">
        <w:rPr>
          <w:sz w:val="20"/>
          <w:szCs w:val="18"/>
        </w:rPr>
        <w:t>DocuSign</w:t>
      </w:r>
      <w:proofErr w:type="spellEnd"/>
      <w:r w:rsidRPr="00C07793">
        <w:rPr>
          <w:sz w:val="20"/>
          <w:szCs w:val="18"/>
        </w:rPr>
        <w:t>" é válida, pois a Medida Provisória n. 2.200-2/2001 e a lei 14.063/2020 permitem assinaturas não certificadas pelo ICP-Brasil, desde que aceitas pelas partes.</w:t>
      </w:r>
      <w:r w:rsidR="009E2677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5. O contrato de financiamento possui elementos suficientes que garantem a autenticidade da assinatura, como número de identificação, data/hora e endereço de IP.</w:t>
      </w:r>
      <w:r w:rsidR="00DB1428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6. A decisão anterior não pode ser reformada apenas pela ausência de assinatura manuscrita ou por não ter sido realizada em plataforma vinculada ao ICP-Brasil.</w:t>
      </w:r>
      <w:r w:rsidR="00DB1428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IV. Dispositivo e tese</w:t>
      </w:r>
      <w:r w:rsidR="00DB1428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7. Recurso conhecido e não provido, mantendo a decisão agravada.</w:t>
      </w:r>
      <w:r w:rsidR="00DB1428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 xml:space="preserve">Tese de julgamento: </w:t>
      </w:r>
      <w:r w:rsidRPr="00E06640">
        <w:rPr>
          <w:b/>
          <w:bCs/>
          <w:sz w:val="20"/>
          <w:szCs w:val="18"/>
        </w:rPr>
        <w:t>A validade da assinatura eletrônica realizada por plataformas não vinculadas à Infraestrutura de Chaves Públicas Brasileira (ICP-Brasil) é reconhecida, desde que aceita pelas partes envolvidas e que apresente elementos suficientes para garantir a autenticidade e a integridade do documento eletrônico.</w:t>
      </w:r>
      <w:r w:rsidR="00DB1428" w:rsidRPr="00E06640">
        <w:rPr>
          <w:b/>
          <w:bCs/>
          <w:sz w:val="20"/>
          <w:szCs w:val="18"/>
        </w:rPr>
        <w:t xml:space="preserve"> </w:t>
      </w:r>
      <w:r w:rsidRPr="00E06640">
        <w:rPr>
          <w:b/>
          <w:bCs/>
          <w:sz w:val="20"/>
          <w:szCs w:val="18"/>
        </w:rPr>
        <w:t>Dispositivos relevantes citados:</w:t>
      </w:r>
      <w:r w:rsidR="00C07793" w:rsidRPr="00E06640">
        <w:rPr>
          <w:b/>
          <w:bCs/>
          <w:sz w:val="20"/>
          <w:szCs w:val="18"/>
        </w:rPr>
        <w:t xml:space="preserve"> </w:t>
      </w:r>
      <w:r w:rsidRPr="00E06640">
        <w:rPr>
          <w:b/>
          <w:bCs/>
          <w:sz w:val="20"/>
          <w:szCs w:val="18"/>
        </w:rPr>
        <w:t xml:space="preserve">CR/1988, art. 5º, </w:t>
      </w:r>
      <w:proofErr w:type="spellStart"/>
      <w:r w:rsidRPr="00E06640">
        <w:rPr>
          <w:b/>
          <w:bCs/>
          <w:sz w:val="20"/>
          <w:szCs w:val="18"/>
        </w:rPr>
        <w:t>LXXIV</w:t>
      </w:r>
      <w:proofErr w:type="spellEnd"/>
      <w:r w:rsidRPr="00E06640">
        <w:rPr>
          <w:b/>
          <w:bCs/>
          <w:sz w:val="20"/>
          <w:szCs w:val="18"/>
        </w:rPr>
        <w:t xml:space="preserve">; CPC/2015, </w:t>
      </w:r>
      <w:proofErr w:type="spellStart"/>
      <w:r w:rsidRPr="00E06640">
        <w:rPr>
          <w:b/>
          <w:bCs/>
          <w:sz w:val="20"/>
          <w:szCs w:val="18"/>
        </w:rPr>
        <w:t>arts</w:t>
      </w:r>
      <w:proofErr w:type="spellEnd"/>
      <w:r w:rsidRPr="00E06640">
        <w:rPr>
          <w:b/>
          <w:bCs/>
          <w:sz w:val="20"/>
          <w:szCs w:val="18"/>
        </w:rPr>
        <w:t>. 99, § 3º, e 1.015, I; Medida Provisória n. 2.200-2/2001, art. 10, § 2º; Lei nº 14.063/2020, art. 4º, II.</w:t>
      </w:r>
      <w:r w:rsidR="004E4B2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Jurisprudência relevante citada:</w:t>
      </w:r>
      <w:r w:rsidR="00C07793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 xml:space="preserve">TJDFT, Apelação Cível 1791831, Rel. Min. </w:t>
      </w:r>
      <w:proofErr w:type="spellStart"/>
      <w:r w:rsidRPr="00C07793">
        <w:rPr>
          <w:sz w:val="20"/>
          <w:szCs w:val="18"/>
        </w:rPr>
        <w:t>Soníria</w:t>
      </w:r>
      <w:proofErr w:type="spellEnd"/>
      <w:r w:rsidRPr="00C07793">
        <w:rPr>
          <w:sz w:val="20"/>
          <w:szCs w:val="18"/>
        </w:rPr>
        <w:t xml:space="preserve"> Rocha Campos D'Assunção, 6ª Turma Cível, j. 22.11.2023; TJSP, Apelação Cível 1119548-56.2024.8.26.0100, Rel. Mário </w:t>
      </w:r>
      <w:proofErr w:type="spellStart"/>
      <w:r w:rsidRPr="00C07793">
        <w:rPr>
          <w:sz w:val="20"/>
          <w:szCs w:val="18"/>
        </w:rPr>
        <w:t>Daccache</w:t>
      </w:r>
      <w:proofErr w:type="spellEnd"/>
      <w:r w:rsidRPr="00C07793">
        <w:rPr>
          <w:sz w:val="20"/>
          <w:szCs w:val="18"/>
        </w:rPr>
        <w:t>, 29ª Câmara de Direito Privado, j. 31.01.2025; Súmula nº 607/STJ.</w:t>
      </w:r>
      <w:r w:rsidR="00C07793" w:rsidRPr="00C07793">
        <w:rPr>
          <w:sz w:val="20"/>
          <w:szCs w:val="18"/>
        </w:rPr>
        <w:t xml:space="preserve"> </w:t>
      </w:r>
      <w:r w:rsidRPr="00C07793">
        <w:rPr>
          <w:sz w:val="20"/>
          <w:szCs w:val="18"/>
        </w:rPr>
        <w:t>(</w:t>
      </w:r>
      <w:proofErr w:type="spellStart"/>
      <w:r w:rsidRPr="00C07793">
        <w:rPr>
          <w:sz w:val="20"/>
          <w:szCs w:val="18"/>
        </w:rPr>
        <w:t>TJPR</w:t>
      </w:r>
      <w:proofErr w:type="spellEnd"/>
      <w:r w:rsidR="00C07793">
        <w:rPr>
          <w:sz w:val="20"/>
          <w:szCs w:val="18"/>
        </w:rPr>
        <w:t xml:space="preserve">. 19ª </w:t>
      </w:r>
      <w:r w:rsidR="000C12EA">
        <w:rPr>
          <w:sz w:val="20"/>
          <w:szCs w:val="18"/>
        </w:rPr>
        <w:t xml:space="preserve">Câmara Cível. Relator: Desembargador Andrei de Oliveira Rech. </w:t>
      </w:r>
      <w:r w:rsidRPr="000C12EA">
        <w:rPr>
          <w:sz w:val="20"/>
          <w:szCs w:val="18"/>
        </w:rPr>
        <w:t>0007355-69.2025.8.16.0000</w:t>
      </w:r>
      <w:r w:rsidR="000C12EA">
        <w:rPr>
          <w:sz w:val="20"/>
          <w:szCs w:val="18"/>
        </w:rPr>
        <w:t xml:space="preserve">. </w:t>
      </w:r>
      <w:r w:rsidRPr="000C12EA">
        <w:rPr>
          <w:sz w:val="20"/>
          <w:szCs w:val="18"/>
        </w:rPr>
        <w:t>Toledo</w:t>
      </w:r>
      <w:r w:rsidR="000C12EA">
        <w:rPr>
          <w:sz w:val="20"/>
          <w:szCs w:val="18"/>
        </w:rPr>
        <w:t xml:space="preserve">. Data de julgamento: </w:t>
      </w:r>
      <w:r w:rsidR="00B42456">
        <w:rPr>
          <w:sz w:val="20"/>
          <w:szCs w:val="18"/>
        </w:rPr>
        <w:t>14-04</w:t>
      </w:r>
      <w:r w:rsidR="004936FC">
        <w:rPr>
          <w:sz w:val="20"/>
          <w:szCs w:val="18"/>
        </w:rPr>
        <w:t>-2025).</w:t>
      </w:r>
    </w:p>
    <w:p w14:paraId="6F818688" w14:textId="77777777" w:rsidR="00190AE6" w:rsidRDefault="00190AE6" w:rsidP="00190AE6">
      <w:pPr>
        <w:pStyle w:val="PargrafodaLista"/>
        <w:ind w:left="2268" w:firstLine="0"/>
        <w:rPr>
          <w:sz w:val="20"/>
          <w:szCs w:val="18"/>
        </w:rPr>
      </w:pPr>
    </w:p>
    <w:p w14:paraId="20F19A2B" w14:textId="3A20697D" w:rsidR="00E6450D" w:rsidRDefault="00FC41B2" w:rsidP="00190AE6">
      <w:pPr>
        <w:pStyle w:val="PargrafodaLista"/>
        <w:ind w:left="2268" w:firstLine="0"/>
        <w:rPr>
          <w:sz w:val="20"/>
          <w:szCs w:val="18"/>
        </w:rPr>
      </w:pPr>
      <w:r w:rsidRPr="00190AE6">
        <w:rPr>
          <w:sz w:val="20"/>
          <w:szCs w:val="18"/>
        </w:rPr>
        <w:t>AGRAVO INTERNO NO RECURSO ESPECIAL. CIVIL E PROCESSUAL CIVIL. EMBARGOS À EXECUÇÃO. TÍTULO EXTRAJUDICIAL. CONTRATO ELETRÔNICO. ASSINATURA DIGITAL. NEGATIVA DE PRESTAÇÃO JURISDICIONAL. NÃO OCORRÊNCIA. EXECUTIVIDADE AFASTADA. REEXAME DE MATÉRIA FÁTICA. IMPOSSIBILIDADE. SÚMULA Nº 7/STJ.</w:t>
      </w:r>
      <w:r w:rsidR="00190AE6">
        <w:rPr>
          <w:sz w:val="20"/>
          <w:szCs w:val="18"/>
        </w:rPr>
        <w:t xml:space="preserve"> </w:t>
      </w:r>
      <w:r w:rsidRPr="00FC41B2">
        <w:rPr>
          <w:sz w:val="20"/>
          <w:szCs w:val="18"/>
        </w:rPr>
        <w:t>1. Não há falar em negativa de prestação jurisdicional se o tribunal de origem motiva adequadamente sua decisão, ainda que de forma sucinta, solucionando a controvérsia com a aplicação do direito que entende cabível à hipótese, apenas não no sentido pretendido pela parte.</w:t>
      </w:r>
      <w:r w:rsidR="00190AE6">
        <w:rPr>
          <w:sz w:val="20"/>
          <w:szCs w:val="18"/>
        </w:rPr>
        <w:t xml:space="preserve"> </w:t>
      </w:r>
      <w:r w:rsidRPr="00E06640">
        <w:rPr>
          <w:b/>
          <w:bCs/>
          <w:sz w:val="20"/>
          <w:szCs w:val="18"/>
        </w:rPr>
        <w:t>2. É possível o reconhecimento da executividade dos contratos eletrônicos, desde que adotados instrumentos capazes de verificar a autenticidade e a presencialidade do contratante. Precedentes.</w:t>
      </w:r>
      <w:r w:rsidR="00190AE6" w:rsidRPr="00E06640">
        <w:rPr>
          <w:b/>
          <w:bCs/>
          <w:sz w:val="20"/>
          <w:szCs w:val="18"/>
        </w:rPr>
        <w:t xml:space="preserve"> </w:t>
      </w:r>
      <w:r w:rsidRPr="00FC41B2">
        <w:rPr>
          <w:sz w:val="20"/>
          <w:szCs w:val="18"/>
        </w:rPr>
        <w:t>3. Para concluir em sentido contrário ao que decidiu o Tribunal de origem, no sentido de que os meios empregados pela recorrente são suficientes para verificar a autenticidade do documento eletrônico, seria necessário o reexame do contexto fático-probatório dos autos, o que é vedado na via recursal eleita, consoante os ditames da Súmula nº 7/STJ.</w:t>
      </w:r>
      <w:r w:rsidR="00190AE6">
        <w:rPr>
          <w:sz w:val="20"/>
          <w:szCs w:val="18"/>
        </w:rPr>
        <w:t xml:space="preserve"> </w:t>
      </w:r>
      <w:r w:rsidRPr="00FC41B2">
        <w:rPr>
          <w:sz w:val="20"/>
          <w:szCs w:val="18"/>
        </w:rPr>
        <w:t>4. Agravo interno não provido.</w:t>
      </w:r>
      <w:r w:rsidR="00190AE6">
        <w:rPr>
          <w:sz w:val="20"/>
          <w:szCs w:val="18"/>
        </w:rPr>
        <w:t xml:space="preserve"> </w:t>
      </w:r>
      <w:r w:rsidRPr="00FC41B2">
        <w:rPr>
          <w:sz w:val="20"/>
          <w:szCs w:val="18"/>
        </w:rPr>
        <w:t>(</w:t>
      </w:r>
      <w:r w:rsidR="00190AE6">
        <w:rPr>
          <w:sz w:val="20"/>
          <w:szCs w:val="18"/>
        </w:rPr>
        <w:t xml:space="preserve">STJ. Terceira Turma. </w:t>
      </w:r>
      <w:r w:rsidR="00E6450D">
        <w:rPr>
          <w:sz w:val="20"/>
          <w:szCs w:val="18"/>
        </w:rPr>
        <w:t xml:space="preserve">Relator: Ministro Ricardo Villas Bôas </w:t>
      </w:r>
      <w:proofErr w:type="spellStart"/>
      <w:r w:rsidR="00E6450D">
        <w:rPr>
          <w:sz w:val="20"/>
          <w:szCs w:val="18"/>
        </w:rPr>
        <w:t>Cueva</w:t>
      </w:r>
      <w:proofErr w:type="spellEnd"/>
      <w:r w:rsidR="00E6450D">
        <w:rPr>
          <w:sz w:val="20"/>
          <w:szCs w:val="18"/>
        </w:rPr>
        <w:t xml:space="preserve">. </w:t>
      </w:r>
      <w:proofErr w:type="spellStart"/>
      <w:r w:rsidRPr="00FC41B2">
        <w:rPr>
          <w:sz w:val="20"/>
          <w:szCs w:val="18"/>
        </w:rPr>
        <w:t>AgInt</w:t>
      </w:r>
      <w:proofErr w:type="spellEnd"/>
      <w:r w:rsidRPr="00FC41B2">
        <w:rPr>
          <w:sz w:val="20"/>
          <w:szCs w:val="18"/>
        </w:rPr>
        <w:t xml:space="preserve"> no REsp n. 2.163.004/DF</w:t>
      </w:r>
      <w:r w:rsidR="00E6450D">
        <w:rPr>
          <w:sz w:val="20"/>
          <w:szCs w:val="18"/>
        </w:rPr>
        <w:t>. Data de julgamento: 28-10-2024. Data de publicação: 04-11-2024).</w:t>
      </w:r>
    </w:p>
    <w:p w14:paraId="273434F6" w14:textId="77777777" w:rsidR="00451961" w:rsidRDefault="00451961" w:rsidP="00877419">
      <w:pPr>
        <w:pStyle w:val="PargrafodaLista"/>
        <w:ind w:left="0"/>
        <w:contextualSpacing w:val="0"/>
        <w:rPr>
          <w:sz w:val="20"/>
          <w:szCs w:val="18"/>
        </w:rPr>
      </w:pPr>
    </w:p>
    <w:p w14:paraId="171B8082" w14:textId="73A64D4B" w:rsidR="00EC43B3" w:rsidRDefault="00FF5699" w:rsidP="00877419">
      <w:pPr>
        <w:pStyle w:val="PargrafodaLista"/>
        <w:ind w:left="0"/>
        <w:contextualSpacing w:val="0"/>
      </w:pPr>
      <w:r>
        <w:t>No atual cenário</w:t>
      </w:r>
      <w:r w:rsidR="007712CB">
        <w:t xml:space="preserve">, </w:t>
      </w:r>
      <w:r w:rsidR="00B239A3">
        <w:t xml:space="preserve">a interpretação restritiva </w:t>
      </w:r>
      <w:r w:rsidR="007712CB">
        <w:t xml:space="preserve">das hipóteses de validade de assinaturas digitais não se coaduna com os princípios </w:t>
      </w:r>
      <w:r w:rsidR="00116DD7">
        <w:t xml:space="preserve">da </w:t>
      </w:r>
      <w:r w:rsidR="00D23F5F">
        <w:t>natureza participativa da rede mundial</w:t>
      </w:r>
      <w:r w:rsidR="008F3A1E">
        <w:t xml:space="preserve"> </w:t>
      </w:r>
      <w:r w:rsidR="00116DD7">
        <w:t xml:space="preserve">e da liberdade dos modelos de negócio, </w:t>
      </w:r>
      <w:r w:rsidR="00EA26FA">
        <w:t xml:space="preserve">bem como </w:t>
      </w:r>
      <w:r w:rsidR="008F3A1E">
        <w:t>do propósito de ampliação do direito de acesso</w:t>
      </w:r>
      <w:r w:rsidR="00EA26FA">
        <w:t xml:space="preserve"> à </w:t>
      </w:r>
      <w:r w:rsidR="00EA26FA">
        <w:rPr>
          <w:i/>
          <w:iCs/>
        </w:rPr>
        <w:t>internet</w:t>
      </w:r>
      <w:r w:rsidR="00D23F5F">
        <w:t xml:space="preserve"> (Lei n. </w:t>
      </w:r>
      <w:r w:rsidR="008F3A1E">
        <w:t>12.965 de 2014, art. 3</w:t>
      </w:r>
      <w:r w:rsidR="00EA26FA">
        <w:t>º</w:t>
      </w:r>
      <w:r w:rsidR="00C96A62">
        <w:t xml:space="preserve">, </w:t>
      </w:r>
      <w:r w:rsidR="00EA26FA">
        <w:t xml:space="preserve">VII e </w:t>
      </w:r>
      <w:r w:rsidR="00C96A62">
        <w:t>VIII</w:t>
      </w:r>
      <w:r w:rsidR="00EA26FA">
        <w:t xml:space="preserve">; art. </w:t>
      </w:r>
      <w:r w:rsidR="002F6609">
        <w:t>4º, I).</w:t>
      </w:r>
    </w:p>
    <w:p w14:paraId="241F5A17" w14:textId="02E49B03" w:rsidR="00EC43B3" w:rsidRDefault="00E06640" w:rsidP="00877419">
      <w:pPr>
        <w:pStyle w:val="PargrafodaLista"/>
        <w:ind w:left="0"/>
        <w:contextualSpacing w:val="0"/>
      </w:pPr>
      <w:r>
        <w:t xml:space="preserve">No caso dos autos, </w:t>
      </w:r>
      <w:r w:rsidR="004B3C5D">
        <w:t xml:space="preserve">a assinatura exigiu </w:t>
      </w:r>
      <w:r w:rsidR="00C91372">
        <w:t>a criação de cadastro com senha,</w:t>
      </w:r>
      <w:r w:rsidR="004B3C5D">
        <w:t xml:space="preserve"> fornecimento de dados pessoais, fotografia </w:t>
      </w:r>
      <w:r w:rsidR="00C91372">
        <w:t>d</w:t>
      </w:r>
      <w:r w:rsidR="004B3C5D">
        <w:t>o usuário</w:t>
      </w:r>
      <w:r w:rsidR="008F752D">
        <w:t xml:space="preserve"> e registrou os dados de geolocalização do dispositivo utilizado (evento 1.10 – autos de origem).</w:t>
      </w:r>
    </w:p>
    <w:p w14:paraId="13035BEC" w14:textId="054B7F65" w:rsidR="00E06640" w:rsidRDefault="007C5AAD" w:rsidP="00877419">
      <w:pPr>
        <w:pStyle w:val="PargrafodaLista"/>
        <w:ind w:left="0"/>
        <w:contextualSpacing w:val="0"/>
      </w:pPr>
      <w:r>
        <w:t xml:space="preserve">Tais </w:t>
      </w:r>
      <w:r w:rsidR="00AB357D">
        <w:t>elementos possibilitam</w:t>
      </w:r>
      <w:r w:rsidR="00204B0C">
        <w:t>, com</w:t>
      </w:r>
      <w:r w:rsidR="00AB357D">
        <w:t xml:space="preserve"> razoável nível de segurança, a verificação da autenticidade da assinatura</w:t>
      </w:r>
      <w:r w:rsidR="00204B0C">
        <w:t xml:space="preserve"> contratual</w:t>
      </w:r>
      <w:r w:rsidR="00611A52">
        <w:t>, permitindo o reconhecimento de sua validade jurídica para</w:t>
      </w:r>
      <w:r w:rsidR="00204B0C">
        <w:t xml:space="preserve"> a</w:t>
      </w:r>
      <w:r w:rsidR="00611A52">
        <w:t xml:space="preserve"> instrução de ação de busca e apreensão.</w:t>
      </w:r>
    </w:p>
    <w:p w14:paraId="06CDCE1E" w14:textId="795DBE56" w:rsidR="00611A52" w:rsidRDefault="00204B0C" w:rsidP="00877419">
      <w:pPr>
        <w:pStyle w:val="PargrafodaLista"/>
        <w:ind w:left="0"/>
        <w:contextualSpacing w:val="0"/>
      </w:pPr>
      <w:r>
        <w:t>Nessas condições,</w:t>
      </w:r>
      <w:r w:rsidR="00947D4A">
        <w:t xml:space="preserve"> a sentença impugnada deve ser reformada, admitindo-se o </w:t>
      </w:r>
      <w:r w:rsidR="00336B9D">
        <w:t>prosseguimento</w:t>
      </w:r>
      <w:r w:rsidR="00947D4A">
        <w:t xml:space="preserve"> da </w:t>
      </w:r>
      <w:r w:rsidR="00947D4A">
        <w:rPr>
          <w:i/>
          <w:iCs/>
        </w:rPr>
        <w:t>actio</w:t>
      </w:r>
      <w:r w:rsidR="00336B9D">
        <w:t xml:space="preserve"> em primeiro grau.</w:t>
      </w:r>
    </w:p>
    <w:p w14:paraId="4F9B449E" w14:textId="3A135728" w:rsidR="00AA28DF" w:rsidRDefault="0004690F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14:paraId="05FBDCAE" w14:textId="09D8D19D" w:rsidR="002146CB" w:rsidRDefault="00AA28DF" w:rsidP="002146CB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</w:t>
      </w:r>
      <w:r w:rsidR="00D74B69">
        <w:t xml:space="preserve"> em:</w:t>
      </w:r>
      <w:r w:rsidR="003F3C89">
        <w:t xml:space="preserve"> a)</w:t>
      </w:r>
      <w:r w:rsidR="00872BD9">
        <w:t xml:space="preserve"> em não conhecer do recurso de </w:t>
      </w:r>
      <w:r w:rsidR="003F3C89" w:rsidRPr="003F3C89">
        <w:t>R</w:t>
      </w:r>
      <w:r w:rsidR="003F3C89">
        <w:t xml:space="preserve">odrigo Luiz </w:t>
      </w:r>
      <w:proofErr w:type="spellStart"/>
      <w:r w:rsidR="003F3C89">
        <w:t>Saucedo</w:t>
      </w:r>
      <w:proofErr w:type="spellEnd"/>
      <w:r w:rsidR="00872BD9">
        <w:t>; b) conhecer e dar provimento ao recurso de Banco Pan S. A</w:t>
      </w:r>
      <w:r w:rsidR="00336B9D">
        <w:t>.</w:t>
      </w:r>
    </w:p>
    <w:p w14:paraId="4308533E" w14:textId="77777777"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14:paraId="316E59E6" w14:textId="77777777" w:rsidR="00AA28DF" w:rsidRDefault="00AA28DF" w:rsidP="00877419">
      <w:pPr>
        <w:pStyle w:val="PargrafodaLista"/>
        <w:ind w:left="0"/>
        <w:contextualSpacing w:val="0"/>
      </w:pPr>
    </w:p>
    <w:p w14:paraId="717BA75D" w14:textId="17F01633"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r>
        <w:rPr>
          <w:b/>
        </w:rPr>
        <w:t xml:space="preserve">III </w:t>
      </w:r>
      <w:r w:rsidR="00451961">
        <w:rPr>
          <w:b/>
        </w:rPr>
        <w:t>–</w:t>
      </w:r>
      <w:r>
        <w:rPr>
          <w:b/>
        </w:rPr>
        <w:t xml:space="preserve"> 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66955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942"/>
    <w:rsid w:val="0004690F"/>
    <w:rsid w:val="000B6152"/>
    <w:rsid w:val="000B63CB"/>
    <w:rsid w:val="000C12EA"/>
    <w:rsid w:val="000E0E38"/>
    <w:rsid w:val="000E4B82"/>
    <w:rsid w:val="001048CF"/>
    <w:rsid w:val="00116DD7"/>
    <w:rsid w:val="001317BB"/>
    <w:rsid w:val="00146748"/>
    <w:rsid w:val="00165C47"/>
    <w:rsid w:val="00167770"/>
    <w:rsid w:val="00190AE6"/>
    <w:rsid w:val="00204B0C"/>
    <w:rsid w:val="002146CB"/>
    <w:rsid w:val="00254A55"/>
    <w:rsid w:val="00275D59"/>
    <w:rsid w:val="002859DE"/>
    <w:rsid w:val="002E4E94"/>
    <w:rsid w:val="002E7446"/>
    <w:rsid w:val="002F6609"/>
    <w:rsid w:val="003161FC"/>
    <w:rsid w:val="00336B9D"/>
    <w:rsid w:val="003373C5"/>
    <w:rsid w:val="00350B46"/>
    <w:rsid w:val="00353A4F"/>
    <w:rsid w:val="003F3C89"/>
    <w:rsid w:val="00407177"/>
    <w:rsid w:val="00451961"/>
    <w:rsid w:val="004936FC"/>
    <w:rsid w:val="004B22B5"/>
    <w:rsid w:val="004B3C5D"/>
    <w:rsid w:val="004E4B23"/>
    <w:rsid w:val="004F6E55"/>
    <w:rsid w:val="00510484"/>
    <w:rsid w:val="00541C02"/>
    <w:rsid w:val="00607F24"/>
    <w:rsid w:val="00611A52"/>
    <w:rsid w:val="00672942"/>
    <w:rsid w:val="00683344"/>
    <w:rsid w:val="006C441C"/>
    <w:rsid w:val="007045F2"/>
    <w:rsid w:val="00733A07"/>
    <w:rsid w:val="00741028"/>
    <w:rsid w:val="00756F7D"/>
    <w:rsid w:val="007712CB"/>
    <w:rsid w:val="00783F4E"/>
    <w:rsid w:val="00794062"/>
    <w:rsid w:val="007C5AAD"/>
    <w:rsid w:val="00826D16"/>
    <w:rsid w:val="00842E0D"/>
    <w:rsid w:val="00860DFE"/>
    <w:rsid w:val="00872BD9"/>
    <w:rsid w:val="00877419"/>
    <w:rsid w:val="008A53C5"/>
    <w:rsid w:val="008D5052"/>
    <w:rsid w:val="008F3A1E"/>
    <w:rsid w:val="008F752D"/>
    <w:rsid w:val="00947D4A"/>
    <w:rsid w:val="00955AFB"/>
    <w:rsid w:val="00970996"/>
    <w:rsid w:val="00984C9D"/>
    <w:rsid w:val="009E2677"/>
    <w:rsid w:val="009F72B9"/>
    <w:rsid w:val="00A60BA9"/>
    <w:rsid w:val="00A94BBD"/>
    <w:rsid w:val="00AA28DF"/>
    <w:rsid w:val="00AB357D"/>
    <w:rsid w:val="00AD2A8C"/>
    <w:rsid w:val="00AE47D1"/>
    <w:rsid w:val="00B239A3"/>
    <w:rsid w:val="00B42456"/>
    <w:rsid w:val="00BC1FB5"/>
    <w:rsid w:val="00BE5B43"/>
    <w:rsid w:val="00C07793"/>
    <w:rsid w:val="00C45BC6"/>
    <w:rsid w:val="00C91372"/>
    <w:rsid w:val="00C96A62"/>
    <w:rsid w:val="00CA0400"/>
    <w:rsid w:val="00CA49EC"/>
    <w:rsid w:val="00D22686"/>
    <w:rsid w:val="00D23F5F"/>
    <w:rsid w:val="00D74B69"/>
    <w:rsid w:val="00DA6708"/>
    <w:rsid w:val="00DB1428"/>
    <w:rsid w:val="00DC37B4"/>
    <w:rsid w:val="00DE19A9"/>
    <w:rsid w:val="00E06640"/>
    <w:rsid w:val="00E6450D"/>
    <w:rsid w:val="00EA26FA"/>
    <w:rsid w:val="00EB7F57"/>
    <w:rsid w:val="00EC43B3"/>
    <w:rsid w:val="00F5729A"/>
    <w:rsid w:val="00F75486"/>
    <w:rsid w:val="00FC41B2"/>
    <w:rsid w:val="00FF569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5615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3C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C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F79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6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0864F-E4A2-49BA-A742-C7920708C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5B026-B2AE-42DC-8951-55F2071FA6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0BBA1B-C17B-48AE-871E-FD5DA2C7C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1428</Words>
  <Characters>7714</Characters>
  <Application>Microsoft Office Word</Application>
  <DocSecurity>0</DocSecurity>
  <Lines>64</Lines>
  <Paragraphs>18</Paragraphs>
  <ScaleCrop>false</ScaleCrop>
  <Company>Tribunal de Justiça do Estado do Paraná</Company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92</cp:revision>
  <dcterms:created xsi:type="dcterms:W3CDTF">2024-02-08T17:42:00Z</dcterms:created>
  <dcterms:modified xsi:type="dcterms:W3CDTF">2025-05-16T20:32:00Z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371800</vt:r8>
  </property>
</Properties>
</file>