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BD1B" w14:textId="560C952D" w:rsidR="00A35556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DIREITO PROCESSUAL CIVIL. AGRAVO INTERNO.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AGRAVO DE INSTRUMENTO</w:t>
      </w:r>
      <w:r w:rsidR="00A35556">
        <w:rPr>
          <w:rFonts w:eastAsiaTheme="minorHAnsi"/>
          <w:b/>
          <w:bCs/>
          <w:sz w:val="24"/>
          <w:szCs w:val="24"/>
          <w:lang w:eastAsia="en-US"/>
        </w:rPr>
        <w:t>.</w:t>
      </w:r>
      <w:r w:rsidR="00CC45C0">
        <w:rPr>
          <w:rFonts w:eastAsiaTheme="minorHAnsi"/>
          <w:b/>
          <w:bCs/>
          <w:sz w:val="24"/>
          <w:szCs w:val="24"/>
          <w:lang w:eastAsia="en-US"/>
        </w:rPr>
        <w:t xml:space="preserve"> INDEFERIMENTO DE PROVA PERICIAL.</w:t>
      </w:r>
    </w:p>
    <w:p w14:paraId="2B4D33D4" w14:textId="77777777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655A71EF" w14:textId="003EC909" w:rsidR="00320C1E" w:rsidRDefault="00CC45C0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CC45C0">
        <w:rPr>
          <w:rFonts w:eastAsiaTheme="minorHAnsi"/>
          <w:b/>
          <w:bCs/>
          <w:sz w:val="24"/>
          <w:szCs w:val="24"/>
          <w:lang w:eastAsia="en-US"/>
        </w:rPr>
        <w:t>Agravo interno interposto contra decisão monocrática que não conheceu de recurso de agravo de instrumento.</w:t>
      </w:r>
    </w:p>
    <w:p w14:paraId="209D47F7" w14:textId="77777777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3CF21DAF" w14:textId="6AF8CA3D" w:rsidR="00320C1E" w:rsidRDefault="00CC45C0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CC45C0">
        <w:rPr>
          <w:rFonts w:eastAsiaTheme="minorHAnsi"/>
          <w:b/>
          <w:bCs/>
          <w:sz w:val="24"/>
          <w:szCs w:val="24"/>
          <w:lang w:eastAsia="en-US"/>
        </w:rPr>
        <w:t>Saber se a decisão que indefere a produção de prova pericial e afirma a inexistência de direito à indenização configura hipótese de cabimento de agravo de instrumento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0EF6BFC6" w14:textId="0BF7CFF8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6656330B" w14:textId="00473103" w:rsidR="00EE3F0F" w:rsidRDefault="00EE3F0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EE3F0F">
        <w:rPr>
          <w:rFonts w:eastAsiaTheme="minorHAnsi"/>
          <w:b/>
          <w:bCs/>
          <w:sz w:val="24"/>
          <w:szCs w:val="24"/>
          <w:lang w:eastAsia="en-US"/>
        </w:rPr>
        <w:t>III.I. O pronunciamento que indefer</w:t>
      </w:r>
      <w:r>
        <w:rPr>
          <w:rFonts w:eastAsiaTheme="minorHAnsi"/>
          <w:b/>
          <w:bCs/>
          <w:sz w:val="24"/>
          <w:szCs w:val="24"/>
          <w:lang w:eastAsia="en-US"/>
        </w:rPr>
        <w:t>e</w:t>
      </w:r>
      <w:r w:rsidRPr="00EE3F0F">
        <w:rPr>
          <w:rFonts w:eastAsiaTheme="minorHAnsi"/>
          <w:b/>
          <w:bCs/>
          <w:sz w:val="24"/>
          <w:szCs w:val="24"/>
          <w:lang w:eastAsia="en-US"/>
        </w:rPr>
        <w:t xml:space="preserve"> produção de prova pericial, 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ainda que aborde </w:t>
      </w:r>
      <w:r w:rsidR="000C7288">
        <w:rPr>
          <w:rFonts w:eastAsiaTheme="minorHAnsi"/>
          <w:b/>
          <w:bCs/>
          <w:sz w:val="24"/>
          <w:szCs w:val="24"/>
          <w:lang w:eastAsia="en-US"/>
        </w:rPr>
        <w:t xml:space="preserve">brevemente aspectos do mérito, </w:t>
      </w:r>
      <w:r w:rsidRPr="00EE3F0F">
        <w:rPr>
          <w:rFonts w:eastAsiaTheme="minorHAnsi"/>
          <w:b/>
          <w:bCs/>
          <w:sz w:val="24"/>
          <w:szCs w:val="24"/>
          <w:lang w:eastAsia="en-US"/>
        </w:rPr>
        <w:t xml:space="preserve">apenas </w:t>
      </w:r>
      <w:r w:rsidR="000C7288">
        <w:rPr>
          <w:rFonts w:eastAsiaTheme="minorHAnsi"/>
          <w:b/>
          <w:bCs/>
          <w:sz w:val="24"/>
          <w:szCs w:val="24"/>
          <w:lang w:eastAsia="en-US"/>
        </w:rPr>
        <w:t xml:space="preserve">para </w:t>
      </w:r>
      <w:r w:rsidRPr="00EE3F0F">
        <w:rPr>
          <w:rFonts w:eastAsiaTheme="minorHAnsi"/>
          <w:b/>
          <w:bCs/>
          <w:sz w:val="24"/>
          <w:szCs w:val="24"/>
          <w:lang w:eastAsia="en-US"/>
        </w:rPr>
        <w:t>fundamenta</w:t>
      </w:r>
      <w:r w:rsidR="000C7288">
        <w:rPr>
          <w:rFonts w:eastAsiaTheme="minorHAnsi"/>
          <w:b/>
          <w:bCs/>
          <w:sz w:val="24"/>
          <w:szCs w:val="24"/>
          <w:lang w:eastAsia="en-US"/>
        </w:rPr>
        <w:t>r</w:t>
      </w:r>
      <w:r w:rsidRPr="00EE3F0F">
        <w:rPr>
          <w:rFonts w:eastAsiaTheme="minorHAnsi"/>
          <w:b/>
          <w:bCs/>
          <w:sz w:val="24"/>
          <w:szCs w:val="24"/>
          <w:lang w:eastAsia="en-US"/>
        </w:rPr>
        <w:t xml:space="preserve"> a desnecessidade da prova</w:t>
      </w:r>
      <w:r w:rsidR="000C7288">
        <w:rPr>
          <w:rFonts w:eastAsiaTheme="minorHAnsi"/>
          <w:b/>
          <w:bCs/>
          <w:sz w:val="24"/>
          <w:szCs w:val="24"/>
          <w:lang w:eastAsia="en-US"/>
        </w:rPr>
        <w:t>, não configura decisão sobre o mérito, a configurar hipótese de cabimento de agravo de instrumento.</w:t>
      </w:r>
    </w:p>
    <w:p w14:paraId="244E8894" w14:textId="4401F3D9" w:rsidR="00320C1E" w:rsidRDefault="00EE3F0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III.II</w:t>
      </w:r>
      <w:r w:rsidRPr="00EE3F0F">
        <w:rPr>
          <w:rFonts w:eastAsiaTheme="minorHAnsi"/>
          <w:b/>
          <w:bCs/>
          <w:sz w:val="24"/>
          <w:szCs w:val="24"/>
          <w:lang w:eastAsia="en-US"/>
        </w:rPr>
        <w:t>. Não cabe, em regra, agravo de instrumento contra pronunciamento de indeferimento de produção de prova pericial, hipótese decisória não prevista no rol do artigo 1.015 do Código de Processo Civil.</w:t>
      </w:r>
    </w:p>
    <w:p w14:paraId="2FAD6CDA" w14:textId="36D85556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2B35AC22" w14:textId="4E5CD3FE" w:rsidR="00446273" w:rsidRPr="00446273" w:rsidRDefault="00320C1E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45194C06" w14:textId="6D8EDFE0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 xml:space="preserve">V. LEGISLAÇÃO </w:t>
      </w:r>
      <w:r w:rsidR="00D121E3">
        <w:rPr>
          <w:rFonts w:eastAsiaTheme="minorHAnsi"/>
          <w:b/>
          <w:bCs/>
          <w:sz w:val="24"/>
          <w:szCs w:val="24"/>
          <w:lang w:eastAsia="en-US"/>
        </w:rPr>
        <w:t xml:space="preserve">E JURISPRUDÊNCIA </w:t>
      </w:r>
      <w:r w:rsidRPr="00446273">
        <w:rPr>
          <w:rFonts w:eastAsiaTheme="minorHAnsi"/>
          <w:b/>
          <w:bCs/>
          <w:sz w:val="24"/>
          <w:szCs w:val="24"/>
          <w:lang w:eastAsia="en-US"/>
        </w:rPr>
        <w:t>UTILIZADA</w:t>
      </w:r>
      <w:r w:rsidR="00D121E3">
        <w:rPr>
          <w:rFonts w:eastAsiaTheme="minorHAnsi"/>
          <w:b/>
          <w:bCs/>
          <w:sz w:val="24"/>
          <w:szCs w:val="24"/>
          <w:lang w:eastAsia="en-US"/>
        </w:rPr>
        <w:t>S</w:t>
      </w:r>
    </w:p>
    <w:p w14:paraId="53722546" w14:textId="77777777" w:rsidR="00D121E3" w:rsidRDefault="00D121E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V.I. </w:t>
      </w:r>
      <w:r w:rsidR="00446273" w:rsidRPr="00446273">
        <w:rPr>
          <w:rFonts w:eastAsiaTheme="minorHAnsi"/>
          <w:b/>
          <w:bCs/>
          <w:sz w:val="24"/>
          <w:szCs w:val="24"/>
          <w:lang w:eastAsia="en-US"/>
        </w:rPr>
        <w:t>Legislação</w:t>
      </w:r>
    </w:p>
    <w:p w14:paraId="644217D5" w14:textId="0CB00B1F" w:rsid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CPC</w:t>
      </w:r>
      <w:r w:rsidR="00220F14">
        <w:rPr>
          <w:rFonts w:eastAsiaTheme="minorHAnsi"/>
          <w:b/>
          <w:bCs/>
          <w:sz w:val="24"/>
          <w:szCs w:val="24"/>
          <w:lang w:eastAsia="en-US"/>
        </w:rPr>
        <w:t>:</w:t>
      </w:r>
      <w:r w:rsidR="006D0CA4">
        <w:rPr>
          <w:rFonts w:eastAsiaTheme="minorHAnsi"/>
          <w:b/>
          <w:bCs/>
          <w:sz w:val="24"/>
          <w:szCs w:val="24"/>
          <w:lang w:eastAsia="en-US"/>
        </w:rPr>
        <w:t xml:space="preserve"> art. 1.015.</w:t>
      </w:r>
    </w:p>
    <w:p w14:paraId="36FB726D" w14:textId="5A81C4AB" w:rsidR="00220F14" w:rsidRDefault="00220F14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V.II. Jurisprudência</w:t>
      </w:r>
    </w:p>
    <w:p w14:paraId="7122E67A" w14:textId="53A0290C" w:rsidR="002B21EF" w:rsidRDefault="002B21E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C55BF">
        <w:rPr>
          <w:rFonts w:eastAsiaTheme="minorHAnsi"/>
          <w:b/>
          <w:bCs/>
          <w:sz w:val="24"/>
          <w:szCs w:val="24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4CC906C1" w14:textId="77777777" w:rsidR="00446273" w:rsidRDefault="00446273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507304AE" w14:textId="2CCF6667" w:rsidR="006C41DC" w:rsidRDefault="006C41DC" w:rsidP="00CE278B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agravo interno interposto por </w:t>
      </w:r>
      <w:r w:rsidR="00FC2477">
        <w:rPr>
          <w:rFonts w:eastAsiaTheme="minorHAnsi"/>
          <w:sz w:val="24"/>
          <w:szCs w:val="24"/>
          <w:lang w:eastAsia="en-US"/>
        </w:rPr>
        <w:t>Flávio Cesar Azenha</w:t>
      </w:r>
      <w:r w:rsidR="0024418F">
        <w:rPr>
          <w:rFonts w:eastAsiaTheme="minorHAnsi"/>
          <w:sz w:val="24"/>
          <w:szCs w:val="24"/>
          <w:lang w:eastAsia="en-US"/>
        </w:rPr>
        <w:t xml:space="preserve"> em </w:t>
      </w:r>
      <w:r w:rsidR="00B745CF">
        <w:rPr>
          <w:rFonts w:eastAsiaTheme="minorHAnsi"/>
          <w:sz w:val="24"/>
          <w:szCs w:val="24"/>
          <w:lang w:eastAsia="en-US"/>
        </w:rPr>
        <w:t xml:space="preserve">face de </w:t>
      </w:r>
      <w:r w:rsidR="00CE278B">
        <w:rPr>
          <w:rFonts w:eastAsiaTheme="minorHAnsi"/>
          <w:sz w:val="24"/>
          <w:szCs w:val="24"/>
          <w:lang w:eastAsia="en-US"/>
        </w:rPr>
        <w:t>Pavibras Empreendimentos Imobiliários Ltda.,</w:t>
      </w:r>
      <w:r w:rsidR="00B745CF">
        <w:rPr>
          <w:rFonts w:eastAsiaTheme="minorHAnsi"/>
          <w:sz w:val="24"/>
          <w:szCs w:val="24"/>
          <w:lang w:eastAsia="en-US"/>
        </w:rPr>
        <w:t xml:space="preserve"> tendo como objeto decisão unipessoal proferida pela 19ª Câmara Cível do Tribunal de Justiça do Estado do Paraná, que </w:t>
      </w:r>
      <w:r w:rsidR="00CE278B">
        <w:rPr>
          <w:rFonts w:eastAsiaTheme="minorHAnsi"/>
          <w:sz w:val="24"/>
          <w:szCs w:val="24"/>
          <w:lang w:eastAsia="en-US"/>
        </w:rPr>
        <w:t>exerceu juízo negativo em agravo de instrumento contra decisão de indeferimento de prova pericial, por ausência de cabimento (evento</w:t>
      </w:r>
      <w:r w:rsidR="00887D16">
        <w:rPr>
          <w:rFonts w:eastAsiaTheme="minorHAnsi"/>
          <w:sz w:val="24"/>
          <w:szCs w:val="24"/>
          <w:lang w:eastAsia="en-US"/>
        </w:rPr>
        <w:t xml:space="preserve"> 18.1 – AI).</w:t>
      </w:r>
    </w:p>
    <w:p w14:paraId="2CFA4410" w14:textId="0BC2C592" w:rsidR="006C41DC" w:rsidRDefault="002B21EF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Eis, em síntese, as razões de inconformismo:</w:t>
      </w:r>
      <w:r w:rsidR="00CA4009">
        <w:rPr>
          <w:rFonts w:eastAsiaTheme="minorHAnsi"/>
          <w:sz w:val="24"/>
          <w:szCs w:val="24"/>
          <w:lang w:eastAsia="en-US"/>
        </w:rPr>
        <w:t xml:space="preserve"> a) o</w:t>
      </w:r>
      <w:r w:rsidR="00E17FDE">
        <w:rPr>
          <w:rFonts w:eastAsiaTheme="minorHAnsi"/>
          <w:sz w:val="24"/>
          <w:szCs w:val="24"/>
          <w:lang w:eastAsia="en-US"/>
        </w:rPr>
        <w:t xml:space="preserve"> fundamento para o indeferimento da prova pericial, pelo juízo de origem, consiste </w:t>
      </w:r>
      <w:r w:rsidR="00096FF6">
        <w:rPr>
          <w:rFonts w:eastAsiaTheme="minorHAnsi"/>
          <w:sz w:val="24"/>
          <w:szCs w:val="24"/>
          <w:lang w:eastAsia="en-US"/>
        </w:rPr>
        <w:t xml:space="preserve">na preclusão da matéria, pelos efeitos da coisa julgada; b) </w:t>
      </w:r>
      <w:r w:rsidR="00CE317B">
        <w:rPr>
          <w:rFonts w:eastAsiaTheme="minorHAnsi"/>
          <w:sz w:val="24"/>
          <w:szCs w:val="24"/>
          <w:lang w:eastAsia="en-US"/>
        </w:rPr>
        <w:t xml:space="preserve">reconhecida a hipótese de preclusão </w:t>
      </w:r>
      <w:r w:rsidR="00CE317B">
        <w:rPr>
          <w:rFonts w:eastAsiaTheme="minorHAnsi"/>
          <w:i/>
          <w:iCs/>
          <w:sz w:val="24"/>
          <w:szCs w:val="24"/>
          <w:lang w:eastAsia="en-US"/>
        </w:rPr>
        <w:t>pro judicato</w:t>
      </w:r>
      <w:r w:rsidR="00CE317B">
        <w:rPr>
          <w:rFonts w:eastAsiaTheme="minorHAnsi"/>
          <w:sz w:val="24"/>
          <w:szCs w:val="24"/>
          <w:lang w:eastAsia="en-US"/>
        </w:rPr>
        <w:t xml:space="preserve">, o </w:t>
      </w:r>
      <w:r w:rsidR="00CA4009">
        <w:rPr>
          <w:rFonts w:eastAsiaTheme="minorHAnsi"/>
          <w:sz w:val="24"/>
          <w:szCs w:val="24"/>
          <w:lang w:eastAsia="en-US"/>
        </w:rPr>
        <w:t xml:space="preserve">recurso </w:t>
      </w:r>
      <w:r w:rsidR="00CE317B">
        <w:rPr>
          <w:rFonts w:eastAsiaTheme="minorHAnsi"/>
          <w:sz w:val="24"/>
          <w:szCs w:val="24"/>
          <w:lang w:eastAsia="en-US"/>
        </w:rPr>
        <w:t xml:space="preserve">originário </w:t>
      </w:r>
      <w:r w:rsidR="00CA4009">
        <w:rPr>
          <w:rFonts w:eastAsiaTheme="minorHAnsi"/>
          <w:sz w:val="24"/>
          <w:szCs w:val="24"/>
          <w:lang w:eastAsia="en-US"/>
        </w:rPr>
        <w:t>não se volta</w:t>
      </w:r>
      <w:r w:rsidR="00CE317B">
        <w:rPr>
          <w:rFonts w:eastAsiaTheme="minorHAnsi"/>
          <w:sz w:val="24"/>
          <w:szCs w:val="24"/>
          <w:lang w:eastAsia="en-US"/>
        </w:rPr>
        <w:t>,</w:t>
      </w:r>
      <w:r w:rsidR="00CA4009">
        <w:rPr>
          <w:rFonts w:eastAsiaTheme="minorHAnsi"/>
          <w:sz w:val="24"/>
          <w:szCs w:val="24"/>
          <w:lang w:eastAsia="en-US"/>
        </w:rPr>
        <w:t xml:space="preserve"> apenas</w:t>
      </w:r>
      <w:r w:rsidR="00CE317B">
        <w:rPr>
          <w:rFonts w:eastAsiaTheme="minorHAnsi"/>
          <w:sz w:val="24"/>
          <w:szCs w:val="24"/>
          <w:lang w:eastAsia="en-US"/>
        </w:rPr>
        <w:t>,</w:t>
      </w:r>
      <w:r w:rsidR="00CA4009">
        <w:rPr>
          <w:rFonts w:eastAsiaTheme="minorHAnsi"/>
          <w:sz w:val="24"/>
          <w:szCs w:val="24"/>
          <w:lang w:eastAsia="en-US"/>
        </w:rPr>
        <w:t xml:space="preserve"> contra indeferimento de prova, mas contra decisão de mérito</w:t>
      </w:r>
      <w:r>
        <w:rPr>
          <w:rFonts w:eastAsiaTheme="minorHAnsi"/>
          <w:sz w:val="24"/>
          <w:szCs w:val="24"/>
          <w:lang w:eastAsia="en-US"/>
        </w:rPr>
        <w:t xml:space="preserve"> (evento 1.1).</w:t>
      </w:r>
    </w:p>
    <w:p w14:paraId="26E48B50" w14:textId="123D783E" w:rsidR="002B21EF" w:rsidRDefault="002B21EF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Nas contrarrazões, a parte recorrida sustentou que:</w:t>
      </w:r>
    </w:p>
    <w:p w14:paraId="22BD59C0" w14:textId="42942766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715FF73B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 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FEC64E3" w14:textId="0E04EDB2" w:rsidR="00446273" w:rsidRDefault="00317948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 – </w:t>
      </w:r>
      <w:r w:rsidR="00536940">
        <w:rPr>
          <w:rFonts w:eastAsiaTheme="minorHAnsi"/>
          <w:sz w:val="24"/>
          <w:szCs w:val="24"/>
          <w:lang w:eastAsia="en-US"/>
        </w:rPr>
        <w:t>DO CABIMENTO</w:t>
      </w:r>
    </w:p>
    <w:p w14:paraId="05978978" w14:textId="44C92BA1" w:rsidR="00941EFD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 xml:space="preserve">Cinge-se a controvérsia recursal </w:t>
      </w:r>
      <w:r w:rsidR="00941EFD">
        <w:rPr>
          <w:rFonts w:eastAsiaTheme="minorHAnsi"/>
          <w:sz w:val="24"/>
          <w:szCs w:val="24"/>
          <w:lang w:eastAsia="en-US"/>
        </w:rPr>
        <w:t xml:space="preserve">à pretensão de reexame de decisão monocrática que negou conhecimento a agravo de instrumento, </w:t>
      </w:r>
      <w:r w:rsidR="003D7FCA">
        <w:rPr>
          <w:rFonts w:eastAsiaTheme="minorHAnsi"/>
          <w:sz w:val="24"/>
          <w:szCs w:val="24"/>
          <w:lang w:eastAsia="en-US"/>
        </w:rPr>
        <w:t>sob o argumento de que</w:t>
      </w:r>
      <w:r w:rsidR="00B65765">
        <w:rPr>
          <w:rFonts w:eastAsiaTheme="minorHAnsi"/>
          <w:sz w:val="24"/>
          <w:szCs w:val="24"/>
          <w:lang w:eastAsia="en-US"/>
        </w:rPr>
        <w:t xml:space="preserve"> a decisão impugnada incursionou no mérito da causa, configurando-se</w:t>
      </w:r>
      <w:r w:rsidR="00CD4DB5">
        <w:rPr>
          <w:rFonts w:eastAsiaTheme="minorHAnsi"/>
          <w:sz w:val="24"/>
          <w:szCs w:val="24"/>
          <w:lang w:eastAsia="en-US"/>
        </w:rPr>
        <w:t xml:space="preserve"> </w:t>
      </w:r>
      <w:r w:rsidR="00B65765">
        <w:rPr>
          <w:rFonts w:eastAsiaTheme="minorHAnsi"/>
          <w:sz w:val="24"/>
          <w:szCs w:val="24"/>
          <w:lang w:eastAsia="en-US"/>
        </w:rPr>
        <w:t>hipótese de cabimento</w:t>
      </w:r>
      <w:r w:rsidR="006D0CA4">
        <w:rPr>
          <w:rFonts w:eastAsiaTheme="minorHAnsi"/>
          <w:sz w:val="24"/>
          <w:szCs w:val="24"/>
          <w:lang w:eastAsia="en-US"/>
        </w:rPr>
        <w:t xml:space="preserve"> (CPC, art. 1.015).</w:t>
      </w:r>
    </w:p>
    <w:p w14:paraId="3C69465C" w14:textId="77777777" w:rsidR="001D7A3C" w:rsidRDefault="00716D81" w:rsidP="001D7A3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 despeito das razões de inconformismo,</w:t>
      </w:r>
      <w:r w:rsidR="005D00B1">
        <w:rPr>
          <w:rFonts w:eastAsiaTheme="minorHAnsi"/>
          <w:sz w:val="24"/>
          <w:szCs w:val="24"/>
          <w:lang w:eastAsia="en-US"/>
        </w:rPr>
        <w:t xml:space="preserve"> </w:t>
      </w:r>
      <w:r w:rsidR="001D7A3C" w:rsidRPr="001D7A3C">
        <w:rPr>
          <w:rFonts w:eastAsiaTheme="minorHAnsi"/>
          <w:sz w:val="24"/>
          <w:szCs w:val="24"/>
          <w:lang w:eastAsia="en-US"/>
        </w:rPr>
        <w:t>ainda que haja breve incursão nos aspectos do mérito da ação, o pronunciamento não substitui a sentença, mas meramente fundamenta a desnecessidade da produção da prova requerida.</w:t>
      </w:r>
    </w:p>
    <w:p w14:paraId="08D0599C" w14:textId="77777777" w:rsidR="001D7A3C" w:rsidRDefault="001D7A3C" w:rsidP="001D7A3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D7A3C">
        <w:rPr>
          <w:rFonts w:eastAsiaTheme="minorHAnsi"/>
          <w:sz w:val="24"/>
          <w:szCs w:val="24"/>
          <w:lang w:eastAsia="en-US"/>
        </w:rPr>
        <w:lastRenderedPageBreak/>
        <w:t xml:space="preserve">O </w:t>
      </w:r>
      <w:r w:rsidRPr="001D7A3C">
        <w:rPr>
          <w:rFonts w:eastAsiaTheme="minorHAnsi"/>
          <w:i/>
          <w:iCs/>
          <w:sz w:val="24"/>
          <w:szCs w:val="24"/>
          <w:lang w:eastAsia="en-US"/>
        </w:rPr>
        <w:t>decisum</w:t>
      </w:r>
      <w:r w:rsidRPr="001D7A3C">
        <w:rPr>
          <w:rFonts w:eastAsiaTheme="minorHAnsi"/>
          <w:sz w:val="24"/>
          <w:szCs w:val="24"/>
          <w:lang w:eastAsia="en-US"/>
        </w:rPr>
        <w:t xml:space="preserve"> poderá, inclusive, ser eventualmente ser revisto por ocasião da resolução do mérito, dada a ausência de preclusão.</w:t>
      </w:r>
    </w:p>
    <w:p w14:paraId="295EF54C" w14:textId="77777777" w:rsidR="001D7A3C" w:rsidRDefault="001D7A3C" w:rsidP="001D7A3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D7A3C">
        <w:rPr>
          <w:rFonts w:eastAsiaTheme="minorHAnsi"/>
          <w:sz w:val="24"/>
          <w:szCs w:val="24"/>
          <w:lang w:eastAsia="en-US"/>
        </w:rPr>
        <w:t>A aludida conclusão, ademais, constitui razoável fundamento jurídico a amparar correspondente decisão, orientada pela percepção subjetiva do julgador sobre o deslinde da relação processual.</w:t>
      </w:r>
    </w:p>
    <w:p w14:paraId="453F79B0" w14:textId="162FDD9A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 xml:space="preserve">Assim, como as razões recursais são incapazes de infirmar o entendimento adotado na decisão vergastada, </w:t>
      </w:r>
      <w:r w:rsidR="009766CA">
        <w:rPr>
          <w:rFonts w:eastAsiaTheme="minorHAnsi"/>
          <w:sz w:val="24"/>
          <w:szCs w:val="24"/>
          <w:lang w:eastAsia="en-US"/>
        </w:rPr>
        <w:t>não se excogita sua reforma</w:t>
      </w:r>
      <w:r w:rsidRPr="000C55BF">
        <w:rPr>
          <w:rFonts w:eastAsiaTheme="minorHAnsi"/>
          <w:sz w:val="24"/>
          <w:szCs w:val="24"/>
          <w:lang w:eastAsia="en-US"/>
        </w:rPr>
        <w:t>.</w:t>
      </w:r>
    </w:p>
    <w:p w14:paraId="2F2C1C0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4A3CBA4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6C3C975" w14:textId="77777777" w:rsidR="000C55BF" w:rsidRPr="000C55BF" w:rsidRDefault="000C55BF" w:rsidP="006C41DC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0C55BF">
        <w:rPr>
          <w:rFonts w:eastAsiaTheme="minorHAnsi"/>
          <w:lang w:eastAsia="en-US"/>
        </w:rPr>
        <w:t xml:space="preserve">AGRAVO INTERNO. PLANO DE SAÚDE. </w:t>
      </w:r>
      <w:r w:rsidRPr="000C55BF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0C55BF">
        <w:rPr>
          <w:rFonts w:eastAsiaTheme="minorHAnsi"/>
          <w:lang w:eastAsia="en-US"/>
        </w:rPr>
        <w:t xml:space="preserve">. AUTORA DIAGNOSTICADA COM ESCLEROSE MÚLTIPLA. FORNECIMENTO DO MEDICAMENTO “OFATUMUMABE (KESIMPTA)”. </w:t>
      </w:r>
      <w:r w:rsidRPr="000C55BF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0C55BF">
        <w:rPr>
          <w:rFonts w:eastAsiaTheme="minorHAnsi"/>
          <w:lang w:eastAsia="en-US"/>
        </w:rPr>
        <w:t xml:space="preserve"> AGRAVO CONHECIDO E DESPROVIDO. (</w:t>
      </w:r>
      <w:bookmarkStart w:id="0" w:name="_Hlk192694248"/>
      <w:r w:rsidRPr="000C55BF">
        <w:rPr>
          <w:rFonts w:eastAsiaTheme="minorHAnsi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bookmarkEnd w:id="0"/>
      <w:r w:rsidRPr="000C55BF">
        <w:rPr>
          <w:rFonts w:eastAsiaTheme="minorHAnsi"/>
          <w:lang w:eastAsia="en-US"/>
        </w:rPr>
        <w:t>).</w:t>
      </w:r>
    </w:p>
    <w:p w14:paraId="70144ACB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5863DEA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3E0B2A33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4A5433D" w14:textId="365AFDF0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II.III – DA CONCLUSÃO</w:t>
      </w:r>
    </w:p>
    <w:p w14:paraId="35F3E922" w14:textId="1476EE43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2D6E800B" w14:textId="41355468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1ECB7F1D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2CF2A13" w14:textId="2C1C60E8" w:rsidR="001D481F" w:rsidRPr="001D481F" w:rsidRDefault="007C1295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1D481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5639A" w14:textId="77777777" w:rsidR="00052DAE" w:rsidRDefault="00052DAE" w:rsidP="00E57A7E">
      <w:r>
        <w:separator/>
      </w:r>
    </w:p>
  </w:endnote>
  <w:endnote w:type="continuationSeparator" w:id="0">
    <w:p w14:paraId="2C509C1F" w14:textId="77777777" w:rsidR="00052DAE" w:rsidRDefault="00052DA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DE732" w14:textId="77777777" w:rsidR="00052DAE" w:rsidRDefault="00052DAE" w:rsidP="00E57A7E">
      <w:r>
        <w:separator/>
      </w:r>
    </w:p>
  </w:footnote>
  <w:footnote w:type="continuationSeparator" w:id="0">
    <w:p w14:paraId="261E82D3" w14:textId="77777777" w:rsidR="00052DAE" w:rsidRDefault="00052DA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52DAE"/>
    <w:rsid w:val="00062DDB"/>
    <w:rsid w:val="00096FF6"/>
    <w:rsid w:val="000C55BF"/>
    <w:rsid w:val="000C7288"/>
    <w:rsid w:val="000F6C9C"/>
    <w:rsid w:val="00107194"/>
    <w:rsid w:val="00132CD6"/>
    <w:rsid w:val="001D481F"/>
    <w:rsid w:val="001D7A3C"/>
    <w:rsid w:val="00220F14"/>
    <w:rsid w:val="0024418F"/>
    <w:rsid w:val="002B21EF"/>
    <w:rsid w:val="003044CA"/>
    <w:rsid w:val="00317948"/>
    <w:rsid w:val="00320C1E"/>
    <w:rsid w:val="00390406"/>
    <w:rsid w:val="003B0C74"/>
    <w:rsid w:val="003D7FCA"/>
    <w:rsid w:val="00403C46"/>
    <w:rsid w:val="004238DC"/>
    <w:rsid w:val="00446273"/>
    <w:rsid w:val="004864FF"/>
    <w:rsid w:val="004D1786"/>
    <w:rsid w:val="00536940"/>
    <w:rsid w:val="00576782"/>
    <w:rsid w:val="005D00B1"/>
    <w:rsid w:val="006C41DC"/>
    <w:rsid w:val="006D0CA4"/>
    <w:rsid w:val="00704CE9"/>
    <w:rsid w:val="00706614"/>
    <w:rsid w:val="00716D81"/>
    <w:rsid w:val="007A60D1"/>
    <w:rsid w:val="007C1295"/>
    <w:rsid w:val="0080753B"/>
    <w:rsid w:val="00887D16"/>
    <w:rsid w:val="008A1101"/>
    <w:rsid w:val="00941EFD"/>
    <w:rsid w:val="009766CA"/>
    <w:rsid w:val="00986C4C"/>
    <w:rsid w:val="009D74D1"/>
    <w:rsid w:val="00A1703D"/>
    <w:rsid w:val="00A35556"/>
    <w:rsid w:val="00B40E92"/>
    <w:rsid w:val="00B65765"/>
    <w:rsid w:val="00B745CF"/>
    <w:rsid w:val="00BD3F10"/>
    <w:rsid w:val="00BE3D44"/>
    <w:rsid w:val="00C616DA"/>
    <w:rsid w:val="00C64155"/>
    <w:rsid w:val="00CA4009"/>
    <w:rsid w:val="00CC3B3E"/>
    <w:rsid w:val="00CC45C0"/>
    <w:rsid w:val="00CD1B20"/>
    <w:rsid w:val="00CD4DB5"/>
    <w:rsid w:val="00CE278B"/>
    <w:rsid w:val="00CE317B"/>
    <w:rsid w:val="00D121E3"/>
    <w:rsid w:val="00D42A02"/>
    <w:rsid w:val="00DA36D7"/>
    <w:rsid w:val="00DC7F1A"/>
    <w:rsid w:val="00E17FDE"/>
    <w:rsid w:val="00E57A7E"/>
    <w:rsid w:val="00E65E47"/>
    <w:rsid w:val="00E90A50"/>
    <w:rsid w:val="00ED13FE"/>
    <w:rsid w:val="00EE3F0F"/>
    <w:rsid w:val="00F957DD"/>
    <w:rsid w:val="00F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47</cp:revision>
  <dcterms:created xsi:type="dcterms:W3CDTF">2023-06-26T17:41:00Z</dcterms:created>
  <dcterms:modified xsi:type="dcterms:W3CDTF">2025-07-16T17:55:00Z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