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B563E" w14:textId="0B431DD3" w:rsidR="00DD0CE8" w:rsidRPr="00DD0CE8" w:rsidRDefault="00146748" w:rsidP="00F318E1">
      <w:pPr>
        <w:ind w:firstLine="0"/>
        <w:rPr>
          <w:b/>
        </w:rPr>
      </w:pPr>
      <w:r w:rsidRPr="00146748">
        <w:rPr>
          <w:b/>
        </w:rPr>
        <w:t xml:space="preserve">DIREITO </w:t>
      </w:r>
      <w:r w:rsidR="00770D58">
        <w:rPr>
          <w:b/>
        </w:rPr>
        <w:t xml:space="preserve">CIVIL E PROCESSUAL CIVIL. EMBARGOS DE DECLARAÇÃO. APELAÇÃO CÍVEL. BUSCA E APREENSÃO. ALIENAÇÃO FIDUCIÁRIA. </w:t>
      </w:r>
      <w:r w:rsidR="001564F8">
        <w:rPr>
          <w:b/>
        </w:rPr>
        <w:t>OMISSÃO. CONTRADIÇÃO.</w:t>
      </w:r>
    </w:p>
    <w:p w14:paraId="63384AAF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I. CASO EM EXAME</w:t>
      </w:r>
    </w:p>
    <w:p w14:paraId="01960454" w14:textId="7C49EA8D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 xml:space="preserve">Embargos de declaração interpostos contra acórdão que conheceu e </w:t>
      </w:r>
      <w:r w:rsidR="008021DA">
        <w:rPr>
          <w:rFonts w:eastAsia="Times New Roman" w:cs="Times New Roman"/>
          <w:b/>
          <w:szCs w:val="24"/>
          <w:lang w:eastAsia="pt-BR"/>
        </w:rPr>
        <w:t>deu</w:t>
      </w:r>
      <w:r w:rsidRPr="00DD0CE8">
        <w:rPr>
          <w:rFonts w:eastAsia="Times New Roman" w:cs="Times New Roman"/>
          <w:b/>
          <w:szCs w:val="24"/>
          <w:lang w:eastAsia="pt-BR"/>
        </w:rPr>
        <w:t xml:space="preserve"> provimento ao recurso de apelação, </w:t>
      </w:r>
      <w:r w:rsidR="003E57DB">
        <w:rPr>
          <w:rFonts w:eastAsia="Times New Roman" w:cs="Times New Roman"/>
          <w:b/>
          <w:szCs w:val="24"/>
          <w:lang w:eastAsia="pt-BR"/>
        </w:rPr>
        <w:t>julgando procedente ação de busca e apreensão.</w:t>
      </w:r>
    </w:p>
    <w:p w14:paraId="7330BB71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II. QUESTÃO EM DISCUSSÃO</w:t>
      </w:r>
    </w:p>
    <w:p w14:paraId="2F93CF58" w14:textId="594C0DEB" w:rsidR="00DD0CE8" w:rsidRPr="00DD0CE8" w:rsidRDefault="003E57DB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Hipóteses de omissão e contradição</w:t>
      </w:r>
      <w:r w:rsidR="005F06DB">
        <w:rPr>
          <w:rFonts w:eastAsia="Times New Roman" w:cs="Times New Roman"/>
          <w:b/>
          <w:szCs w:val="24"/>
          <w:lang w:eastAsia="pt-BR"/>
        </w:rPr>
        <w:t xml:space="preserve"> na construção dos fundamentos decisórios.</w:t>
      </w:r>
    </w:p>
    <w:p w14:paraId="54863A8F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III. RAZÕES DE DECIDIR</w:t>
      </w:r>
    </w:p>
    <w:p w14:paraId="3C8166C0" w14:textId="00578243" w:rsidR="00DD0CE8" w:rsidRPr="00DD0CE8" w:rsidRDefault="005D1EF6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III.I. </w:t>
      </w:r>
      <w:r w:rsidR="00DD0CE8" w:rsidRPr="00DD0CE8">
        <w:rPr>
          <w:rFonts w:eastAsia="Times New Roman" w:cs="Times New Roman"/>
          <w:b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8D432F" w14:textId="61F2809A" w:rsidR="005D1EF6" w:rsidRDefault="005D1EF6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III.II. Aplicação de multa pela interposição de embargos de declaração com propósito meramente declaratório.</w:t>
      </w:r>
    </w:p>
    <w:p w14:paraId="4B4FB5AE" w14:textId="382D07B4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IV. SOLUÇÃO DO CASO</w:t>
      </w:r>
    </w:p>
    <w:p w14:paraId="4BF9BD8F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Recurso conhecido e desprovido.</w:t>
      </w:r>
    </w:p>
    <w:p w14:paraId="46E9FFA0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V. JURISPRUDÊNCIA E LEGISLAÇÃO UTILIZADAS</w:t>
      </w:r>
    </w:p>
    <w:p w14:paraId="1A006D73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V.I. Jurisprudência</w:t>
      </w:r>
    </w:p>
    <w:p w14:paraId="1D73A3D4" w14:textId="77777777" w:rsidR="00DD0CE8" w:rsidRPr="00DD0CE8" w:rsidRDefault="00DD0CE8" w:rsidP="00DD0CE8">
      <w:pPr>
        <w:spacing w:before="240"/>
        <w:ind w:firstLine="0"/>
        <w:rPr>
          <w:rFonts w:cs="Times New Roman"/>
          <w:b/>
          <w:szCs w:val="24"/>
        </w:rPr>
      </w:pPr>
      <w:r w:rsidRPr="00DD0CE8">
        <w:rPr>
          <w:rFonts w:cs="Times New Roman"/>
          <w:b/>
          <w:szCs w:val="24"/>
        </w:rPr>
        <w:t xml:space="preserve">STJ. 1ª Seção. Relator: Ministro Mauro Campbell Marques. </w:t>
      </w:r>
      <w:proofErr w:type="spellStart"/>
      <w:r w:rsidRPr="00DD0CE8">
        <w:rPr>
          <w:rFonts w:cs="Times New Roman"/>
          <w:b/>
          <w:szCs w:val="24"/>
        </w:rPr>
        <w:t>EDcl</w:t>
      </w:r>
      <w:proofErr w:type="spellEnd"/>
      <w:r w:rsidRPr="00DD0CE8">
        <w:rPr>
          <w:rFonts w:cs="Times New Roman"/>
          <w:b/>
          <w:szCs w:val="24"/>
        </w:rPr>
        <w:t>. no AgRg. nos EAREsp. n. 620.940/RS. Data de Julgamento: 14-09-2016. Data de Publicação: 21-09-2016.</w:t>
      </w:r>
    </w:p>
    <w:p w14:paraId="7860C7B1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V.II. Legislação</w:t>
      </w:r>
    </w:p>
    <w:p w14:paraId="33D9BCAD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t>Código de Processo Civil: art. 1.022.</w:t>
      </w:r>
    </w:p>
    <w:p w14:paraId="4327F790" w14:textId="77777777" w:rsidR="00DD0CE8" w:rsidRPr="00DD0CE8" w:rsidRDefault="00DD0CE8" w:rsidP="00DD0CE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</w:p>
    <w:p w14:paraId="6F512A6C" w14:textId="77777777" w:rsidR="00DD0CE8" w:rsidRPr="00DD0CE8" w:rsidRDefault="00DD0CE8" w:rsidP="00DD0CE8">
      <w:pPr>
        <w:spacing w:before="24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eastAsia="Times New Roman" w:cs="Times New Roman"/>
          <w:b/>
          <w:szCs w:val="24"/>
          <w:lang w:eastAsia="pt-BR"/>
        </w:rPr>
        <w:lastRenderedPageBreak/>
        <w:t>I – RELATÓRIO</w:t>
      </w:r>
    </w:p>
    <w:p w14:paraId="17D56CA5" w14:textId="49125D51" w:rsidR="00DD0CE8" w:rsidRPr="00DD0CE8" w:rsidRDefault="00DD0CE8" w:rsidP="00CD25B5">
      <w:pPr>
        <w:tabs>
          <w:tab w:val="left" w:pos="6578"/>
        </w:tabs>
        <w:spacing w:before="240"/>
        <w:rPr>
          <w:rFonts w:eastAsia="Times New Roman" w:cs="Times New Roman"/>
          <w:bCs/>
          <w:szCs w:val="24"/>
          <w:lang w:eastAsia="pt-BR"/>
        </w:rPr>
      </w:pPr>
      <w:r w:rsidRPr="00DD0CE8">
        <w:rPr>
          <w:rFonts w:eastAsia="Times New Roman" w:cs="Times New Roman"/>
          <w:bCs/>
          <w:szCs w:val="24"/>
          <w:lang w:eastAsia="pt-BR"/>
        </w:rPr>
        <w:t xml:space="preserve">Cuida-se de embargos de declaração opostos por </w:t>
      </w:r>
      <w:r w:rsidR="00CD25B5">
        <w:rPr>
          <w:rFonts w:eastAsia="Times New Roman" w:cs="Times New Roman"/>
          <w:bCs/>
          <w:szCs w:val="24"/>
          <w:lang w:eastAsia="pt-BR"/>
        </w:rPr>
        <w:t xml:space="preserve">José Carlos da Silva em face de Fundo de Investimento em Direitos Creditórios Creditas Auto VIII, tendo como objeto o v. acórdão proferido pela </w:t>
      </w:r>
      <w:r w:rsidRPr="00DD0CE8">
        <w:rPr>
          <w:rFonts w:eastAsia="Times New Roman" w:cs="Times New Roman"/>
          <w:bCs/>
          <w:szCs w:val="24"/>
          <w:lang w:eastAsia="pt-BR"/>
        </w:rPr>
        <w:t xml:space="preserve">19ª Câmara Cível do Tribunal de Justiça do Estado do Paraná (evento </w:t>
      </w:r>
      <w:r w:rsidR="00792E00">
        <w:rPr>
          <w:rFonts w:eastAsia="Times New Roman" w:cs="Times New Roman"/>
          <w:bCs/>
          <w:szCs w:val="24"/>
          <w:lang w:eastAsia="pt-BR"/>
        </w:rPr>
        <w:t>18</w:t>
      </w:r>
      <w:r w:rsidRPr="00DD0CE8">
        <w:rPr>
          <w:rFonts w:eastAsia="Times New Roman" w:cs="Times New Roman"/>
          <w:bCs/>
          <w:szCs w:val="24"/>
          <w:lang w:eastAsia="pt-BR"/>
        </w:rPr>
        <w:t>.1 – Ap).</w:t>
      </w:r>
    </w:p>
    <w:p w14:paraId="71B5AFB5" w14:textId="1F2D02C6" w:rsidR="00DD0CE8" w:rsidRPr="00DD0CE8" w:rsidRDefault="00DD0CE8" w:rsidP="00DD0CE8">
      <w:pPr>
        <w:spacing w:before="240"/>
        <w:rPr>
          <w:rFonts w:eastAsia="Times New Roman" w:cs="Times New Roman"/>
          <w:bCs/>
          <w:szCs w:val="24"/>
          <w:lang w:eastAsia="pt-BR"/>
        </w:rPr>
      </w:pPr>
      <w:r w:rsidRPr="00DD0CE8">
        <w:rPr>
          <w:rFonts w:eastAsia="Times New Roman" w:cs="Times New Roman"/>
          <w:bCs/>
          <w:szCs w:val="24"/>
          <w:lang w:eastAsia="pt-BR"/>
        </w:rPr>
        <w:t xml:space="preserve">Sustenta o embargante, em síntese, </w:t>
      </w:r>
      <w:r w:rsidR="00792E00">
        <w:rPr>
          <w:rFonts w:eastAsia="Times New Roman" w:cs="Times New Roman"/>
          <w:bCs/>
          <w:szCs w:val="24"/>
          <w:lang w:eastAsia="pt-BR"/>
        </w:rPr>
        <w:t xml:space="preserve">que o acórdão deixou de considerar o acordo extrajudicial realizado </w:t>
      </w:r>
      <w:r w:rsidR="009D09FB">
        <w:rPr>
          <w:rFonts w:eastAsia="Times New Roman" w:cs="Times New Roman"/>
          <w:bCs/>
          <w:szCs w:val="24"/>
          <w:lang w:eastAsia="pt-BR"/>
        </w:rPr>
        <w:t>entre as partes e a consequente inaplicabilidade da legislação de regência sobre a purga da mora</w:t>
      </w:r>
      <w:r w:rsidRPr="00DD0CE8">
        <w:rPr>
          <w:rFonts w:eastAsia="Times New Roman" w:cs="Times New Roman"/>
          <w:bCs/>
          <w:szCs w:val="24"/>
          <w:lang w:eastAsia="pt-BR"/>
        </w:rPr>
        <w:t xml:space="preserve"> (evento 1.1).</w:t>
      </w:r>
    </w:p>
    <w:p w14:paraId="6222B4AE" w14:textId="7B356752" w:rsidR="00DD0CE8" w:rsidRPr="00DD0CE8" w:rsidRDefault="00DD0CE8" w:rsidP="00DD0CE8">
      <w:pPr>
        <w:spacing w:before="240"/>
        <w:rPr>
          <w:rFonts w:eastAsia="Times New Roman" w:cs="Times New Roman"/>
          <w:bCs/>
          <w:szCs w:val="24"/>
          <w:lang w:eastAsia="pt-BR"/>
        </w:rPr>
      </w:pPr>
      <w:r w:rsidRPr="00DD0CE8">
        <w:rPr>
          <w:rFonts w:eastAsia="Times New Roman" w:cs="Times New Roman"/>
          <w:bCs/>
          <w:szCs w:val="24"/>
          <w:lang w:eastAsia="pt-BR"/>
        </w:rPr>
        <w:t>Nas contrarrazões, a embargada se manifestou pelo não conhecimento dos embargos e, subsidiariamente, por seu desprovimento</w:t>
      </w:r>
      <w:r w:rsidR="00F91DB5">
        <w:rPr>
          <w:rFonts w:eastAsia="Times New Roman" w:cs="Times New Roman"/>
          <w:bCs/>
          <w:szCs w:val="24"/>
          <w:lang w:eastAsia="pt-BR"/>
        </w:rPr>
        <w:t>, com imposição de multa</w:t>
      </w:r>
      <w:r w:rsidRPr="00DD0CE8">
        <w:rPr>
          <w:rFonts w:eastAsia="Times New Roman" w:cs="Times New Roman"/>
          <w:bCs/>
          <w:szCs w:val="24"/>
          <w:lang w:eastAsia="pt-BR"/>
        </w:rPr>
        <w:t xml:space="preserve"> (evento </w:t>
      </w:r>
      <w:r w:rsidR="00E463C0">
        <w:rPr>
          <w:rFonts w:eastAsia="Times New Roman" w:cs="Times New Roman"/>
          <w:bCs/>
          <w:szCs w:val="24"/>
          <w:lang w:eastAsia="pt-BR"/>
        </w:rPr>
        <w:t>13</w:t>
      </w:r>
      <w:r w:rsidRPr="00DD0CE8">
        <w:rPr>
          <w:rFonts w:eastAsia="Times New Roman" w:cs="Times New Roman"/>
          <w:bCs/>
          <w:szCs w:val="24"/>
          <w:lang w:eastAsia="pt-BR"/>
        </w:rPr>
        <w:t>.1).</w:t>
      </w:r>
    </w:p>
    <w:p w14:paraId="687A4FB3" w14:textId="77777777" w:rsidR="00DD0CE8" w:rsidRPr="00DD0CE8" w:rsidRDefault="00DD0CE8" w:rsidP="00DD0CE8">
      <w:pPr>
        <w:spacing w:before="240"/>
        <w:rPr>
          <w:rFonts w:eastAsia="Times New Roman" w:cs="Times New Roman"/>
          <w:bCs/>
          <w:szCs w:val="24"/>
          <w:lang w:eastAsia="pt-BR"/>
        </w:rPr>
      </w:pPr>
      <w:r w:rsidRPr="00DD0CE8">
        <w:rPr>
          <w:rFonts w:eastAsia="Times New Roman" w:cs="Times New Roman"/>
          <w:bCs/>
          <w:szCs w:val="24"/>
          <w:lang w:eastAsia="pt-BR"/>
        </w:rPr>
        <w:t>É o necessário relato.</w:t>
      </w:r>
    </w:p>
    <w:p w14:paraId="375073B9" w14:textId="77777777" w:rsidR="00DD0CE8" w:rsidRPr="00DD0CE8" w:rsidRDefault="00DD0CE8" w:rsidP="00DD0CE8">
      <w:pPr>
        <w:spacing w:before="240"/>
        <w:rPr>
          <w:rFonts w:eastAsia="Times New Roman" w:cs="Times New Roman"/>
          <w:b/>
          <w:szCs w:val="24"/>
          <w:lang w:eastAsia="pt-BR"/>
        </w:rPr>
      </w:pPr>
    </w:p>
    <w:p w14:paraId="2474570D" w14:textId="77777777" w:rsidR="00DD0CE8" w:rsidRPr="00DD0CE8" w:rsidRDefault="00DD0CE8" w:rsidP="00DD0CE8">
      <w:pPr>
        <w:spacing w:before="24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cs="Times New Roman"/>
          <w:b/>
          <w:szCs w:val="24"/>
        </w:rPr>
        <w:t>II – FUNDAMENTAÇÃO</w:t>
      </w:r>
    </w:p>
    <w:p w14:paraId="1E3C5535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II.I – DO JUÍZO DE ADMISSIBILIDADE</w:t>
      </w:r>
    </w:p>
    <w:p w14:paraId="0B9D90AC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Em que pese tenha postulado o não conhecimento do recurso, a parte embargada não logrou demonstrar a ausência de qualquer dos correlatos requisitos.</w:t>
      </w:r>
    </w:p>
    <w:p w14:paraId="36C3D5BA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Portanto, satisfeitos os pressupostos de admissibilidade recursal, conhecem-se dos embargos de declaração interpostos.</w:t>
      </w:r>
    </w:p>
    <w:p w14:paraId="11EAFFBD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</w:p>
    <w:p w14:paraId="7F61ADDA" w14:textId="24CE9BF3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 xml:space="preserve">II.II – </w:t>
      </w:r>
      <w:r w:rsidR="00E463C0">
        <w:rPr>
          <w:rFonts w:eastAsia="Times New Roman" w:cs="Times New Roman"/>
          <w:szCs w:val="24"/>
          <w:lang w:eastAsia="pt-BR"/>
        </w:rPr>
        <w:t>DO MÉRITO</w:t>
      </w:r>
    </w:p>
    <w:p w14:paraId="61578D3D" w14:textId="74CBC21C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Do exame do pronunciamento judicial hostilizado, em cotejo com as razões de inconformismo, constata-se que a pretensão declaratória constitui manifesto inconformismo com a solução jurídica adotada, hipótese incompatível com o perfil normativo do artigo 1.022 do Código de Processo Civil.</w:t>
      </w:r>
    </w:p>
    <w:p w14:paraId="76D23F8A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A propósito do tema:</w:t>
      </w:r>
    </w:p>
    <w:p w14:paraId="7ADC7DED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</w:p>
    <w:p w14:paraId="77D7E368" w14:textId="77777777" w:rsidR="00DD0CE8" w:rsidRPr="00DD0CE8" w:rsidRDefault="00DD0CE8" w:rsidP="00DD0CE8">
      <w:pPr>
        <w:ind w:left="2268" w:firstLine="0"/>
        <w:rPr>
          <w:rFonts w:cs="Times New Roman"/>
          <w:sz w:val="20"/>
        </w:rPr>
      </w:pPr>
      <w:r w:rsidRPr="00DD0CE8">
        <w:rPr>
          <w:rFonts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DD0CE8">
        <w:rPr>
          <w:rFonts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</w:t>
      </w:r>
      <w:proofErr w:type="spellStart"/>
      <w:r w:rsidRPr="00DD0CE8">
        <w:rPr>
          <w:rFonts w:cs="Times New Roman"/>
          <w:b/>
          <w:sz w:val="20"/>
        </w:rPr>
        <w:t>decisum</w:t>
      </w:r>
      <w:proofErr w:type="spellEnd"/>
      <w:r w:rsidRPr="00DD0CE8">
        <w:rPr>
          <w:rFonts w:cs="Times New Roman"/>
          <w:b/>
          <w:sz w:val="20"/>
        </w:rPr>
        <w:t xml:space="preserve"> ao entendimento da parte embargante, nem ao acolhimento de pretensões que refletem mero inconformismo, e, menos ainda, à rediscussão de questão já resolvida. Precedentes. </w:t>
      </w:r>
      <w:r w:rsidRPr="00DD0CE8">
        <w:rPr>
          <w:rFonts w:cs="Times New Roman"/>
          <w:sz w:val="20"/>
        </w:rPr>
        <w:t xml:space="preserve">2. A análise das razões recursais revela a pretensão da parte em alterar o resultado do </w:t>
      </w:r>
      <w:proofErr w:type="spellStart"/>
      <w:r w:rsidRPr="00DD0CE8">
        <w:rPr>
          <w:rFonts w:cs="Times New Roman"/>
          <w:sz w:val="20"/>
        </w:rPr>
        <w:t>decisum</w:t>
      </w:r>
      <w:proofErr w:type="spellEnd"/>
      <w:r w:rsidRPr="00DD0CE8">
        <w:rPr>
          <w:rFonts w:cs="Times New Roman"/>
          <w:sz w:val="20"/>
        </w:rPr>
        <w:t xml:space="preserve">, o que é inviável nesta seara recursal. 3. Embargos de declaração rejeitados. (STJ. 1ª Seção. Relator: Ministro Mauro Campbell Marques. </w:t>
      </w:r>
      <w:proofErr w:type="spellStart"/>
      <w:r w:rsidRPr="00DD0CE8">
        <w:rPr>
          <w:rFonts w:cs="Times New Roman"/>
          <w:sz w:val="20"/>
        </w:rPr>
        <w:t>EDcl</w:t>
      </w:r>
      <w:proofErr w:type="spellEnd"/>
      <w:r w:rsidRPr="00DD0CE8">
        <w:rPr>
          <w:rFonts w:cs="Times New Roman"/>
          <w:sz w:val="20"/>
        </w:rPr>
        <w:t>. no AgRg. nos EAREsp. n. 620.940/RS. Data de Julgamento: 14-09-2016. Data de Publicação: 21-09-2016).</w:t>
      </w:r>
    </w:p>
    <w:p w14:paraId="303C05CB" w14:textId="77777777" w:rsidR="00DD0CE8" w:rsidRPr="00DD0CE8" w:rsidRDefault="00DD0CE8" w:rsidP="00DD0CE8">
      <w:pPr>
        <w:ind w:firstLine="0"/>
        <w:rPr>
          <w:rFonts w:cs="Times New Roman"/>
          <w:sz w:val="20"/>
        </w:rPr>
      </w:pPr>
    </w:p>
    <w:p w14:paraId="09B6FDB6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Todas as teses jurídicas veiculadas foram objeto de percuciente análise e a respectiva decisão, exposta mediante fundamentação plena, sem nenhuma contradição, omissão, obscuridade ou erro material.</w:t>
      </w:r>
    </w:p>
    <w:p w14:paraId="4C2FF51A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 xml:space="preserve">Com efeito, o julgador não está obrigado a rebater de maneira </w:t>
      </w:r>
      <w:proofErr w:type="spellStart"/>
      <w:r w:rsidRPr="00DD0CE8">
        <w:rPr>
          <w:rFonts w:eastAsia="Times New Roman" w:cs="Times New Roman"/>
          <w:szCs w:val="24"/>
          <w:lang w:eastAsia="pt-BR"/>
        </w:rPr>
        <w:t>exauriente</w:t>
      </w:r>
      <w:proofErr w:type="spellEnd"/>
      <w:r w:rsidRPr="00DD0CE8">
        <w:rPr>
          <w:rFonts w:eastAsia="Times New Roman" w:cs="Times New Roman"/>
          <w:szCs w:val="24"/>
          <w:lang w:eastAsia="pt-BR"/>
        </w:rPr>
        <w:t xml:space="preserve"> cada um dos argumentos apresentados pelas partes, quando encontrar fundamento suficiente para a decisão.</w:t>
      </w:r>
    </w:p>
    <w:p w14:paraId="66DAB2F2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 xml:space="preserve">Portanto, ausente propósito de </w:t>
      </w:r>
      <w:proofErr w:type="spellStart"/>
      <w:r w:rsidRPr="00DD0CE8">
        <w:rPr>
          <w:rFonts w:eastAsia="Times New Roman" w:cs="Times New Roman"/>
          <w:szCs w:val="24"/>
          <w:lang w:eastAsia="pt-BR"/>
        </w:rPr>
        <w:t>colmatação</w:t>
      </w:r>
      <w:proofErr w:type="spellEnd"/>
      <w:r w:rsidRPr="00DD0CE8">
        <w:rPr>
          <w:rFonts w:eastAsia="Times New Roman" w:cs="Times New Roman"/>
          <w:szCs w:val="24"/>
          <w:lang w:eastAsia="pt-BR"/>
        </w:rPr>
        <w:t>, e sendo evidente a pretensão de rediscussão do julgado, não se excogita o provimento do recurso.</w:t>
      </w:r>
    </w:p>
    <w:p w14:paraId="6F0FD935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</w:p>
    <w:p w14:paraId="52B727DB" w14:textId="77777777" w:rsidR="00076AFD" w:rsidRDefault="00076AFD" w:rsidP="00DD0CE8">
      <w:pPr>
        <w:spacing w:before="240"/>
        <w:rPr>
          <w:rFonts w:eastAsia="Times New Roman" w:cs="Times New Roman"/>
          <w:szCs w:val="24"/>
          <w:lang w:eastAsia="pt-BR"/>
        </w:rPr>
      </w:pPr>
    </w:p>
    <w:p w14:paraId="3CC8F762" w14:textId="621174B5" w:rsidR="002303AF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II.I</w:t>
      </w:r>
      <w:r w:rsidR="002303AF">
        <w:rPr>
          <w:rFonts w:eastAsia="Times New Roman" w:cs="Times New Roman"/>
          <w:szCs w:val="24"/>
          <w:lang w:eastAsia="pt-BR"/>
        </w:rPr>
        <w:t>II</w:t>
      </w:r>
      <w:r w:rsidRPr="00DD0CE8">
        <w:rPr>
          <w:rFonts w:eastAsia="Times New Roman" w:cs="Times New Roman"/>
          <w:szCs w:val="24"/>
          <w:lang w:eastAsia="pt-BR"/>
        </w:rPr>
        <w:t xml:space="preserve"> –</w:t>
      </w:r>
      <w:r w:rsidR="006513EC">
        <w:rPr>
          <w:rFonts w:eastAsia="Times New Roman" w:cs="Times New Roman"/>
          <w:szCs w:val="24"/>
          <w:lang w:eastAsia="pt-BR"/>
        </w:rPr>
        <w:t xml:space="preserve"> DA PENALIDADE PROCESSUAL</w:t>
      </w:r>
    </w:p>
    <w:p w14:paraId="5F3FB258" w14:textId="77777777" w:rsidR="006513EC" w:rsidRPr="006513EC" w:rsidRDefault="006513EC" w:rsidP="006513EC">
      <w:pPr>
        <w:spacing w:before="240"/>
        <w:rPr>
          <w:rFonts w:eastAsia="Times New Roman" w:cs="Times New Roman"/>
          <w:szCs w:val="24"/>
          <w:lang w:eastAsia="pt-BR"/>
        </w:rPr>
      </w:pPr>
      <w:r w:rsidRPr="006513EC">
        <w:rPr>
          <w:rFonts w:eastAsia="Times New Roman" w:cs="Times New Roman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29A9B382" w14:textId="77777777" w:rsidR="006513EC" w:rsidRPr="006513EC" w:rsidRDefault="006513EC" w:rsidP="006513EC">
      <w:pPr>
        <w:rPr>
          <w:rFonts w:cs="Times New Roman"/>
          <w:iCs/>
          <w:szCs w:val="24"/>
        </w:rPr>
      </w:pPr>
      <w:r w:rsidRPr="006513EC">
        <w:rPr>
          <w:rFonts w:cs="Times New Roman"/>
          <w:iCs/>
          <w:szCs w:val="24"/>
        </w:rPr>
        <w:lastRenderedPageBreak/>
        <w:t>Para caracterização da manifesta protelação, categoria instituída no artigo 1.026, § 2.º, do Código de Processo Civil, exige-se conduta dolosa da parte em procrastinar injustificadamente o procedimento.</w:t>
      </w:r>
    </w:p>
    <w:p w14:paraId="6E585E63" w14:textId="77777777" w:rsidR="006513EC" w:rsidRPr="006513EC" w:rsidRDefault="006513EC" w:rsidP="006513EC">
      <w:pPr>
        <w:rPr>
          <w:rFonts w:cs="Times New Roman"/>
          <w:iCs/>
          <w:szCs w:val="24"/>
        </w:rPr>
      </w:pPr>
      <w:r w:rsidRPr="006513EC">
        <w:rPr>
          <w:rFonts w:cs="Times New Roman"/>
          <w:iCs/>
          <w:szCs w:val="24"/>
        </w:rPr>
        <w:t xml:space="preserve">O exercício de legítimo direito à ampla defesa e ao contraditório, constitucionalmente previstos, não se </w:t>
      </w:r>
      <w:proofErr w:type="spellStart"/>
      <w:r w:rsidRPr="006513EC">
        <w:rPr>
          <w:rFonts w:cs="Times New Roman"/>
          <w:iCs/>
          <w:szCs w:val="24"/>
        </w:rPr>
        <w:t>subsome</w:t>
      </w:r>
      <w:proofErr w:type="spellEnd"/>
      <w:r w:rsidRPr="006513EC">
        <w:rPr>
          <w:rFonts w:cs="Times New Roman"/>
          <w:iCs/>
          <w:szCs w:val="24"/>
        </w:rPr>
        <w:t xml:space="preserve"> ao preceito primário da norma proibitiva.</w:t>
      </w:r>
    </w:p>
    <w:p w14:paraId="4F29E5D7" w14:textId="77777777" w:rsidR="006513EC" w:rsidRPr="006513EC" w:rsidRDefault="006513EC" w:rsidP="006513EC">
      <w:pPr>
        <w:rPr>
          <w:rFonts w:cs="Times New Roman"/>
          <w:iCs/>
          <w:szCs w:val="24"/>
        </w:rPr>
      </w:pPr>
      <w:r w:rsidRPr="006513EC">
        <w:rPr>
          <w:rFonts w:cs="Times New Roman"/>
          <w:iCs/>
          <w:szCs w:val="24"/>
        </w:rPr>
        <w:t>Neste sentido:</w:t>
      </w:r>
    </w:p>
    <w:p w14:paraId="156335E9" w14:textId="77777777" w:rsidR="006513EC" w:rsidRPr="006513EC" w:rsidRDefault="006513EC" w:rsidP="006513EC">
      <w:pPr>
        <w:rPr>
          <w:rFonts w:cs="Times New Roman"/>
          <w:iCs/>
          <w:szCs w:val="24"/>
        </w:rPr>
      </w:pPr>
    </w:p>
    <w:p w14:paraId="1A17E617" w14:textId="77777777" w:rsidR="006513EC" w:rsidRPr="006513EC" w:rsidRDefault="006513EC" w:rsidP="006513EC">
      <w:pPr>
        <w:ind w:left="2268" w:firstLine="0"/>
        <w:rPr>
          <w:rFonts w:cs="Times New Roman"/>
          <w:iCs/>
          <w:sz w:val="20"/>
          <w:szCs w:val="24"/>
        </w:rPr>
      </w:pPr>
      <w:r w:rsidRPr="006513EC">
        <w:rPr>
          <w:rFonts w:cs="Times New Roman"/>
          <w:iCs/>
          <w:sz w:val="20"/>
          <w:szCs w:val="24"/>
        </w:rPr>
        <w:t xml:space="preserve"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LV,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</w:t>
      </w:r>
      <w:proofErr w:type="spellStart"/>
      <w:r w:rsidRPr="006513EC">
        <w:rPr>
          <w:rFonts w:cs="Times New Roman"/>
          <w:iCs/>
          <w:sz w:val="20"/>
          <w:szCs w:val="24"/>
        </w:rPr>
        <w:t>Andrighi</w:t>
      </w:r>
      <w:proofErr w:type="spellEnd"/>
      <w:r w:rsidRPr="006513EC">
        <w:rPr>
          <w:rFonts w:cs="Times New Roman"/>
          <w:iCs/>
          <w:sz w:val="20"/>
          <w:szCs w:val="24"/>
        </w:rPr>
        <w:t xml:space="preserve">. </w:t>
      </w:r>
      <w:proofErr w:type="spellStart"/>
      <w:r w:rsidRPr="006513EC">
        <w:rPr>
          <w:rFonts w:cs="Times New Roman"/>
          <w:iCs/>
          <w:sz w:val="20"/>
          <w:szCs w:val="24"/>
        </w:rPr>
        <w:t>REsp</w:t>
      </w:r>
      <w:proofErr w:type="spellEnd"/>
      <w:r w:rsidRPr="006513EC">
        <w:rPr>
          <w:rFonts w:cs="Times New Roman"/>
          <w:iCs/>
          <w:sz w:val="20"/>
          <w:szCs w:val="24"/>
        </w:rPr>
        <w:t xml:space="preserve"> n. 1.423.942/SP. Data de julgamento: 26-09-2017. Data de publicação: 29-09-2017).</w:t>
      </w:r>
    </w:p>
    <w:p w14:paraId="21E2CDE9" w14:textId="77777777" w:rsidR="006513EC" w:rsidRPr="006513EC" w:rsidRDefault="006513EC" w:rsidP="006513EC">
      <w:pPr>
        <w:rPr>
          <w:rFonts w:cs="Times New Roman"/>
          <w:iCs/>
          <w:szCs w:val="24"/>
          <w:highlight w:val="yellow"/>
        </w:rPr>
      </w:pPr>
    </w:p>
    <w:p w14:paraId="3225627A" w14:textId="1502170C" w:rsidR="006513EC" w:rsidRDefault="006513EC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6513EC">
        <w:rPr>
          <w:rFonts w:cs="Times New Roman"/>
          <w:iCs/>
          <w:szCs w:val="24"/>
        </w:rPr>
        <w:t>Indefere-se, pois, a pretensão punitiva.</w:t>
      </w:r>
    </w:p>
    <w:p w14:paraId="6C686B69" w14:textId="77777777" w:rsidR="002303AF" w:rsidRDefault="002303AF" w:rsidP="00DD0CE8">
      <w:pPr>
        <w:spacing w:before="240"/>
        <w:rPr>
          <w:rFonts w:eastAsia="Times New Roman" w:cs="Times New Roman"/>
          <w:szCs w:val="24"/>
          <w:lang w:eastAsia="pt-BR"/>
        </w:rPr>
      </w:pPr>
    </w:p>
    <w:p w14:paraId="4E0CCAA7" w14:textId="118EDA9E" w:rsidR="00DD0CE8" w:rsidRPr="00DD0CE8" w:rsidRDefault="002303AF" w:rsidP="00DD0CE8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>II.IV –</w:t>
      </w:r>
      <w:r w:rsidR="00DD0CE8" w:rsidRPr="00DD0CE8">
        <w:rPr>
          <w:rFonts w:eastAsia="Times New Roman" w:cs="Times New Roman"/>
          <w:szCs w:val="24"/>
          <w:lang w:eastAsia="pt-BR"/>
        </w:rPr>
        <w:t xml:space="preserve"> DA CONCLUSÃO</w:t>
      </w:r>
    </w:p>
    <w:p w14:paraId="5BC74102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0615C97D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  <w:r w:rsidRPr="00DD0CE8">
        <w:rPr>
          <w:rFonts w:eastAsia="Times New Roman" w:cs="Times New Roman"/>
          <w:szCs w:val="24"/>
          <w:lang w:eastAsia="pt-BR"/>
        </w:rPr>
        <w:t>É como voto.</w:t>
      </w:r>
    </w:p>
    <w:p w14:paraId="0CDF7922" w14:textId="77777777" w:rsidR="00DD0CE8" w:rsidRPr="00DD0CE8" w:rsidRDefault="00DD0CE8" w:rsidP="00DD0CE8">
      <w:pPr>
        <w:spacing w:before="240"/>
        <w:rPr>
          <w:rFonts w:eastAsia="Times New Roman" w:cs="Times New Roman"/>
          <w:szCs w:val="24"/>
          <w:lang w:eastAsia="pt-BR"/>
        </w:rPr>
      </w:pPr>
    </w:p>
    <w:p w14:paraId="717BA75D" w14:textId="40C36185" w:rsidR="00AA28DF" w:rsidRPr="00DD0CE8" w:rsidRDefault="00DD0CE8" w:rsidP="00DD0CE8">
      <w:pPr>
        <w:spacing w:before="240"/>
        <w:rPr>
          <w:rFonts w:eastAsia="Times New Roman" w:cs="Times New Roman"/>
          <w:b/>
          <w:szCs w:val="24"/>
          <w:lang w:eastAsia="pt-BR"/>
        </w:rPr>
      </w:pPr>
      <w:r w:rsidRPr="00DD0CE8">
        <w:rPr>
          <w:rFonts w:cs="Times New Roman"/>
          <w:b/>
          <w:szCs w:val="24"/>
        </w:rPr>
        <w:t>III – DECISÃO</w:t>
      </w:r>
    </w:p>
    <w:sectPr w:rsidR="00AA28DF" w:rsidRPr="00DD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76AFD"/>
    <w:rsid w:val="00146748"/>
    <w:rsid w:val="001564F8"/>
    <w:rsid w:val="00165C47"/>
    <w:rsid w:val="002303AF"/>
    <w:rsid w:val="002E2FFC"/>
    <w:rsid w:val="003D7F80"/>
    <w:rsid w:val="003E57DB"/>
    <w:rsid w:val="005D1EF6"/>
    <w:rsid w:val="005F06DB"/>
    <w:rsid w:val="006513EC"/>
    <w:rsid w:val="00672942"/>
    <w:rsid w:val="006A7048"/>
    <w:rsid w:val="00770D58"/>
    <w:rsid w:val="00792E00"/>
    <w:rsid w:val="00794062"/>
    <w:rsid w:val="007D21A2"/>
    <w:rsid w:val="008021DA"/>
    <w:rsid w:val="00850E0F"/>
    <w:rsid w:val="00877419"/>
    <w:rsid w:val="009D09FB"/>
    <w:rsid w:val="00A00BC7"/>
    <w:rsid w:val="00AA28DF"/>
    <w:rsid w:val="00AE47D1"/>
    <w:rsid w:val="00B12C6D"/>
    <w:rsid w:val="00C02DD3"/>
    <w:rsid w:val="00C24754"/>
    <w:rsid w:val="00C77194"/>
    <w:rsid w:val="00CD25B5"/>
    <w:rsid w:val="00DC37B4"/>
    <w:rsid w:val="00DD0CE8"/>
    <w:rsid w:val="00E463C0"/>
    <w:rsid w:val="00E87388"/>
    <w:rsid w:val="00EB5BAF"/>
    <w:rsid w:val="00F318E1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52AF4F-3449-4625-8DB4-935139173C2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4bd5eb-5da3-4c78-b159-2bc8443a6345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958</Words>
  <Characters>5175</Characters>
  <Application>Microsoft Office Word</Application>
  <DocSecurity>0</DocSecurity>
  <Lines>43</Lines>
  <Paragraphs>12</Paragraphs>
  <ScaleCrop>false</ScaleCrop>
  <Company>Tribunal de Justiça do Estado do Paraná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24</cp:revision>
  <dcterms:created xsi:type="dcterms:W3CDTF">2025-06-10T15:49:00Z</dcterms:created>
  <dcterms:modified xsi:type="dcterms:W3CDTF">2025-06-13T10:41:00Z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