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4C3" w:rsidRDefault="00CB52F0" w:rsidP="00CB52F0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 xml:space="preserve">DECISÃO MONOCRÁTICA. </w:t>
      </w:r>
      <w:r w:rsidR="00A004C3">
        <w:rPr>
          <w:rFonts w:eastAsiaTheme="minorHAnsi"/>
          <w:b/>
          <w:bCs/>
          <w:sz w:val="24"/>
          <w:szCs w:val="24"/>
          <w:lang w:eastAsia="en-US"/>
        </w:rPr>
        <w:t>PENAL. PROCESSUAL PENAL. EMBARGOS INFRINGENTES. INTERPOSIÇÃO DUPLA. UNIRRECORRIBILIDADE. SINGULARIDADE RECURSAL. PRECLUSÃO CONSUMATIVA. INADMISSIBILIDADE. RECURSO NÃO CONHECIDO.</w:t>
      </w:r>
    </w:p>
    <w:p w:rsidR="00CB52F0" w:rsidRDefault="00CB52F0" w:rsidP="00CB52F0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1. Não comporta conhecimento o recurso cujas razões repetem as de interposição anterior, com</w:t>
      </w:r>
      <w:r w:rsidR="00437982">
        <w:rPr>
          <w:rFonts w:eastAsiaTheme="minorHAnsi"/>
          <w:b/>
          <w:bCs/>
          <w:sz w:val="24"/>
          <w:szCs w:val="24"/>
          <w:lang w:eastAsia="en-US"/>
        </w:rPr>
        <w:t xml:space="preserve"> idêntico objeto, por violação ao princípio da singularidade</w:t>
      </w:r>
      <w:r>
        <w:rPr>
          <w:rFonts w:eastAsiaTheme="minorHAnsi"/>
          <w:b/>
          <w:bCs/>
          <w:sz w:val="24"/>
          <w:szCs w:val="24"/>
          <w:lang w:eastAsia="en-US"/>
        </w:rPr>
        <w:t xml:space="preserve"> r</w:t>
      </w:r>
      <w:r w:rsidR="00437982">
        <w:rPr>
          <w:rFonts w:eastAsiaTheme="minorHAnsi"/>
          <w:b/>
          <w:bCs/>
          <w:sz w:val="24"/>
          <w:szCs w:val="24"/>
          <w:lang w:eastAsia="en-US"/>
        </w:rPr>
        <w:t>ecursal ou unirrecorribilidade.</w:t>
      </w:r>
    </w:p>
    <w:p w:rsidR="00CB52F0" w:rsidRDefault="00CB52F0" w:rsidP="00CB52F0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 xml:space="preserve">2. </w:t>
      </w:r>
      <w:r w:rsidR="00437982">
        <w:rPr>
          <w:rFonts w:eastAsiaTheme="minorHAnsi"/>
          <w:b/>
          <w:bCs/>
          <w:sz w:val="24"/>
          <w:szCs w:val="24"/>
          <w:lang w:eastAsia="en-US"/>
        </w:rPr>
        <w:t>Recurso</w:t>
      </w:r>
      <w:r>
        <w:rPr>
          <w:rFonts w:eastAsiaTheme="minorHAnsi"/>
          <w:b/>
          <w:bCs/>
          <w:sz w:val="24"/>
          <w:szCs w:val="24"/>
          <w:lang w:eastAsia="en-US"/>
        </w:rPr>
        <w:t xml:space="preserve"> não conhecido.</w:t>
      </w:r>
    </w:p>
    <w:p w:rsidR="00CB52F0" w:rsidRDefault="00CB52F0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</w:p>
    <w:p w:rsidR="007C1295" w:rsidRDefault="007C1295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bookmarkStart w:id="0" w:name="_GoBack"/>
      <w:r>
        <w:rPr>
          <w:rFonts w:eastAsiaTheme="minorHAnsi"/>
          <w:b/>
          <w:bCs/>
          <w:sz w:val="24"/>
          <w:szCs w:val="24"/>
          <w:lang w:eastAsia="en-US"/>
        </w:rPr>
        <w:t>I – RELATÓRIO</w:t>
      </w:r>
    </w:p>
    <w:p w:rsidR="006E1B3D" w:rsidRDefault="006E1B3D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Cuida-se de embargos infringentes opostos por Leandro Mengardo Gomes em face do Ministério Público do Estado do Paraná, tendo</w:t>
      </w:r>
      <w:r w:rsidR="00CB52F0">
        <w:rPr>
          <w:rFonts w:eastAsiaTheme="minorHAnsi"/>
          <w:sz w:val="24"/>
          <w:szCs w:val="24"/>
          <w:lang w:eastAsia="en-US"/>
        </w:rPr>
        <w:t xml:space="preserve"> como objeto acórdão proferido pela 3ª Câmara Criminal (evento 209.1 – Ap).</w:t>
      </w:r>
    </w:p>
    <w:p w:rsidR="00CB52F0" w:rsidRDefault="00CB52F0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Constata-se, contudo, oposição de recurso idêntico, contra o mesmo pronunciamento decisório, autuado sob o nº</w:t>
      </w:r>
      <w:r w:rsidR="0006035A">
        <w:rPr>
          <w:rFonts w:eastAsiaTheme="minorHAnsi"/>
          <w:sz w:val="24"/>
          <w:szCs w:val="24"/>
          <w:lang w:eastAsia="en-US"/>
        </w:rPr>
        <w:t xml:space="preserve"> 0027592-90.2022.8.16.0013, sob relatoria do excelentíssimo Desembargador Substituto Márcio José Tokars.</w:t>
      </w:r>
    </w:p>
    <w:p w:rsidR="004864FF" w:rsidRDefault="0080753B" w:rsidP="007C1295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É o necessário relato.</w:t>
      </w:r>
    </w:p>
    <w:p w:rsidR="004864FF" w:rsidRDefault="004864FF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:rsidR="007C1295" w:rsidRDefault="007C1295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sz w:val="24"/>
          <w:szCs w:val="24"/>
          <w:lang w:eastAsia="en-US"/>
        </w:rPr>
      </w:pPr>
      <w:r w:rsidRPr="007C1295">
        <w:rPr>
          <w:rFonts w:eastAsiaTheme="minorHAnsi"/>
          <w:b/>
          <w:sz w:val="24"/>
          <w:szCs w:val="24"/>
          <w:lang w:eastAsia="en-US"/>
        </w:rPr>
        <w:t>II – FUNDAMENTAÇÃO</w:t>
      </w:r>
    </w:p>
    <w:p w:rsidR="0006035A" w:rsidRDefault="0006035A" w:rsidP="0006035A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Da análise da árvore processual, verifica-se que as apelações de autos nº 0017976-69.2015.8.16.0035 e </w:t>
      </w:r>
      <w:r w:rsidRPr="0006035A">
        <w:t xml:space="preserve">0007004-40.2015.8.16.0035 </w:t>
      </w:r>
      <w:r>
        <w:t>foi julgada por um único acórdão, trasladado em ambos cadernos processuais.</w:t>
      </w:r>
    </w:p>
    <w:p w:rsidR="0006035A" w:rsidRDefault="0006035A" w:rsidP="0006035A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Sucede, pois, que os presentes embargos infringentes </w:t>
      </w:r>
      <w:r w:rsidR="00A7640C">
        <w:t xml:space="preserve">materializam pretensão recursal absolutamente idêntica ao dos autos nº </w:t>
      </w:r>
      <w:r w:rsidR="00A7640C">
        <w:rPr>
          <w:rFonts w:eastAsiaTheme="minorHAnsi"/>
          <w:lang w:eastAsia="en-US"/>
        </w:rPr>
        <w:t>0027592-90.2022.8.16.0013</w:t>
      </w:r>
      <w:r w:rsidR="00A7640C">
        <w:rPr>
          <w:rFonts w:eastAsiaTheme="minorHAnsi"/>
          <w:lang w:eastAsia="en-US"/>
        </w:rPr>
        <w:t xml:space="preserve">, </w:t>
      </w:r>
      <w:r w:rsidR="00437982">
        <w:rPr>
          <w:rFonts w:eastAsiaTheme="minorHAnsi"/>
          <w:lang w:eastAsia="en-US"/>
        </w:rPr>
        <w:t xml:space="preserve">já pautado para julgamento, que tem por objeto </w:t>
      </w:r>
      <w:r w:rsidR="00A7640C">
        <w:rPr>
          <w:rFonts w:eastAsiaTheme="minorHAnsi"/>
          <w:lang w:eastAsia="en-US"/>
        </w:rPr>
        <w:t>o mesmo pronunciamento decisório.</w:t>
      </w:r>
    </w:p>
    <w:p w:rsidR="0006035A" w:rsidRDefault="00A7640C" w:rsidP="0006035A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lastRenderedPageBreak/>
        <w:t>Nesse caso, a</w:t>
      </w:r>
      <w:r w:rsidR="0006035A">
        <w:t xml:space="preserve"> </w:t>
      </w:r>
      <w:r>
        <w:t xml:space="preserve">duplicidade de recursos </w:t>
      </w:r>
      <w:r w:rsidR="0006035A">
        <w:t xml:space="preserve">configura manifesta violação à singularidade recursal, ensejando juízo negativo de admissibilidade como consequência da preclusão consumativa decorrente da interposição </w:t>
      </w:r>
      <w:r>
        <w:t>simultânea.</w:t>
      </w:r>
    </w:p>
    <w:p w:rsidR="0006035A" w:rsidRDefault="0006035A" w:rsidP="0006035A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Neste sentido:</w:t>
      </w:r>
    </w:p>
    <w:p w:rsidR="0006035A" w:rsidRDefault="0006035A" w:rsidP="0006035A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:rsidR="00A004C3" w:rsidRDefault="00A7640C" w:rsidP="00A7640C">
      <w:pPr>
        <w:pStyle w:val="NormalWeb"/>
        <w:spacing w:before="0" w:beforeAutospacing="0" w:after="240" w:afterAutospacing="0" w:line="360" w:lineRule="auto"/>
        <w:ind w:left="2268"/>
        <w:jc w:val="both"/>
        <w:rPr>
          <w:sz w:val="20"/>
          <w:szCs w:val="20"/>
        </w:rPr>
      </w:pPr>
      <w:r w:rsidRPr="00A7640C">
        <w:rPr>
          <w:sz w:val="20"/>
          <w:szCs w:val="20"/>
        </w:rPr>
        <w:t xml:space="preserve">JULGAMENTO MONOCRÁTICO. HABEAS CORPUS. </w:t>
      </w:r>
      <w:r w:rsidRPr="00A004C3">
        <w:rPr>
          <w:b/>
          <w:sz w:val="20"/>
          <w:szCs w:val="20"/>
        </w:rPr>
        <w:t>PRISÃO EM</w:t>
      </w:r>
      <w:r w:rsidRPr="00A004C3">
        <w:rPr>
          <w:b/>
          <w:sz w:val="20"/>
          <w:szCs w:val="20"/>
        </w:rPr>
        <w:t xml:space="preserve"> </w:t>
      </w:r>
      <w:r w:rsidRPr="00A004C3">
        <w:rPr>
          <w:b/>
          <w:sz w:val="20"/>
          <w:szCs w:val="20"/>
        </w:rPr>
        <w:t>FLAGRANTE SUBSTITUÍDA POR MEDIDAS CAUTELARES</w:t>
      </w:r>
      <w:r w:rsidRPr="00A004C3">
        <w:rPr>
          <w:b/>
          <w:sz w:val="20"/>
          <w:szCs w:val="20"/>
        </w:rPr>
        <w:t xml:space="preserve"> </w:t>
      </w:r>
      <w:r w:rsidRPr="00A004C3">
        <w:rPr>
          <w:b/>
          <w:sz w:val="20"/>
          <w:szCs w:val="20"/>
        </w:rPr>
        <w:t>DIVERSAS, CONCEDIDA EM HABEAS CORPUS IMPETRADO COM O</w:t>
      </w:r>
      <w:r w:rsidRPr="00A004C3">
        <w:rPr>
          <w:b/>
          <w:sz w:val="20"/>
          <w:szCs w:val="20"/>
        </w:rPr>
        <w:t xml:space="preserve"> </w:t>
      </w:r>
      <w:r w:rsidRPr="00A004C3">
        <w:rPr>
          <w:b/>
          <w:sz w:val="20"/>
          <w:szCs w:val="20"/>
        </w:rPr>
        <w:t>MESMO OBJETO. PRINCÍPIO DA UNIRRECORRIBILIDADE</w:t>
      </w:r>
      <w:r w:rsidRPr="00A004C3">
        <w:rPr>
          <w:b/>
          <w:sz w:val="20"/>
          <w:szCs w:val="20"/>
        </w:rPr>
        <w:t xml:space="preserve"> </w:t>
      </w:r>
      <w:r w:rsidRPr="00A004C3">
        <w:rPr>
          <w:b/>
          <w:sz w:val="20"/>
          <w:szCs w:val="20"/>
        </w:rPr>
        <w:t>APLICÁVEL AO WRIT. ORDEM NÃO CONHECIDA.</w:t>
      </w:r>
      <w:r>
        <w:rPr>
          <w:sz w:val="20"/>
          <w:szCs w:val="20"/>
        </w:rPr>
        <w:t xml:space="preserve"> (TJPR. 4ª Câmara Criminal. Relator: Desembargadora </w:t>
      </w:r>
      <w:r w:rsidR="00A004C3">
        <w:rPr>
          <w:sz w:val="20"/>
          <w:szCs w:val="20"/>
        </w:rPr>
        <w:t xml:space="preserve">Substituta Renata Estorilho Baganha. </w:t>
      </w:r>
      <w:r w:rsidRPr="00A7640C">
        <w:rPr>
          <w:sz w:val="20"/>
          <w:szCs w:val="20"/>
        </w:rPr>
        <w:t>0056741-05.2024.8.16.0000</w:t>
      </w:r>
      <w:r w:rsidR="00A004C3">
        <w:rPr>
          <w:sz w:val="20"/>
          <w:szCs w:val="20"/>
        </w:rPr>
        <w:t>. Londrina. Data de Julgamento: 03-07-2024).</w:t>
      </w:r>
    </w:p>
    <w:p w:rsidR="00A7640C" w:rsidRPr="00A7640C" w:rsidRDefault="00A7640C" w:rsidP="00A7640C">
      <w:pPr>
        <w:pStyle w:val="NormalWeb"/>
        <w:spacing w:before="0" w:beforeAutospacing="0" w:after="240" w:afterAutospacing="0" w:line="360" w:lineRule="auto"/>
        <w:ind w:left="2268"/>
        <w:jc w:val="both"/>
        <w:rPr>
          <w:sz w:val="20"/>
          <w:szCs w:val="20"/>
        </w:rPr>
      </w:pPr>
    </w:p>
    <w:p w:rsidR="00A004C3" w:rsidRDefault="00A7640C" w:rsidP="00A7640C">
      <w:pPr>
        <w:pStyle w:val="NormalWeb"/>
        <w:spacing w:before="0" w:beforeAutospacing="0" w:after="240" w:afterAutospacing="0" w:line="360" w:lineRule="auto"/>
        <w:ind w:left="2268"/>
        <w:jc w:val="both"/>
        <w:rPr>
          <w:sz w:val="20"/>
          <w:szCs w:val="20"/>
        </w:rPr>
      </w:pPr>
      <w:r w:rsidRPr="00A7640C">
        <w:rPr>
          <w:sz w:val="20"/>
          <w:szCs w:val="20"/>
        </w:rPr>
        <w:t xml:space="preserve">APELAÇÕES CRIME – ROUBO MAJORADO – CONDENAÇÃO – RECURSO DA DEFESA. INTERPOSIÇÃO DE RECURSOS EM FAVOR DO MESMO RÉU PELO DEFENSOR CONSTITUÍDO E PELA DEFENSORA NOMEADA – INTERPOSIÇÃO DE RECURSO E OFERECIMENTO DAS RESPECTIVAS RAZÕES PELO DEFENSOR CONSTITUÍDO – DEFENSORA POSTERIORMENTE NOMEADA QUE APRESENTOU AS RAZÕES DEPOIS DAS APRESENTADAS PELO DEFENSOR CONSTITUÍDO – PRECLUSÃO CONSUMATIVA – </w:t>
      </w:r>
      <w:r w:rsidRPr="00A004C3">
        <w:rPr>
          <w:b/>
          <w:sz w:val="20"/>
          <w:szCs w:val="20"/>
        </w:rPr>
        <w:t>PRINCÍPIO DA UNIRRECORRIBILIDADE DAS DECISÕES – NÃO CONHECIMENTO DA SEGUNDA INTERPOSIÇÃO</w:t>
      </w:r>
      <w:r w:rsidRPr="00A7640C">
        <w:rPr>
          <w:sz w:val="20"/>
          <w:szCs w:val="20"/>
        </w:rPr>
        <w:t>. PRETENSÃO DE ABSOLVIÇÃO – ALEGAÇÃO DE INSUFICIÊNCIA DE PROVAS PARA JUSTIFICAR A CONDENAÇÃO – PROCEDÊNCIA – INDÍCIOS DE AUTORIA QUE, POR SI SÓS, NÃO SÃO SUFICIENTES PARA ATESTAR QUE O RÉU SEJA UM DOS AUTORES DO CRIME – APLICAÇÃO DO PRINCÍPIO IN DUBIO PRO REO – SENTENÇA REFORMADA. RECURSO PROVIDO.</w:t>
      </w:r>
      <w:r w:rsidR="00A004C3">
        <w:rPr>
          <w:sz w:val="20"/>
          <w:szCs w:val="20"/>
        </w:rPr>
        <w:t xml:space="preserve"> (TJPR. </w:t>
      </w:r>
      <w:r w:rsidRPr="00A7640C">
        <w:rPr>
          <w:sz w:val="20"/>
          <w:szCs w:val="20"/>
        </w:rPr>
        <w:t>4ª Câmara Criminal</w:t>
      </w:r>
      <w:r w:rsidR="00A004C3">
        <w:rPr>
          <w:sz w:val="20"/>
          <w:szCs w:val="20"/>
        </w:rPr>
        <w:t xml:space="preserve">. Relator: Desembargador Rui Portugal Bacelar Filho. </w:t>
      </w:r>
      <w:r w:rsidRPr="00A7640C">
        <w:rPr>
          <w:sz w:val="20"/>
          <w:szCs w:val="20"/>
        </w:rPr>
        <w:t>0001720-95.2017.8.16.0127</w:t>
      </w:r>
      <w:r w:rsidR="00A004C3">
        <w:rPr>
          <w:sz w:val="20"/>
          <w:szCs w:val="20"/>
        </w:rPr>
        <w:t xml:space="preserve">. </w:t>
      </w:r>
      <w:r w:rsidRPr="00A7640C">
        <w:rPr>
          <w:sz w:val="20"/>
          <w:szCs w:val="20"/>
        </w:rPr>
        <w:t>Paraíso do Norte</w:t>
      </w:r>
      <w:r w:rsidR="00A004C3">
        <w:rPr>
          <w:sz w:val="20"/>
          <w:szCs w:val="20"/>
        </w:rPr>
        <w:t>. Data de Julgamento: 27-05-2024).</w:t>
      </w:r>
    </w:p>
    <w:p w:rsidR="00A7640C" w:rsidRDefault="00A7640C" w:rsidP="00A7640C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:rsidR="0006035A" w:rsidRDefault="00A004C3" w:rsidP="0006035A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Portanto</w:t>
      </w:r>
      <w:r w:rsidR="0006035A">
        <w:t>, o recurso não ultrapassa o exame de admissibilidade.</w:t>
      </w:r>
    </w:p>
    <w:p w:rsidR="0006035A" w:rsidRDefault="0006035A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sz w:val="24"/>
          <w:szCs w:val="24"/>
          <w:lang w:eastAsia="en-US"/>
        </w:rPr>
      </w:pPr>
    </w:p>
    <w:p w:rsidR="007C1295" w:rsidRPr="007C1295" w:rsidRDefault="007C1295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sz w:val="24"/>
          <w:szCs w:val="24"/>
          <w:lang w:eastAsia="en-US"/>
        </w:rPr>
      </w:pPr>
      <w:r w:rsidRPr="007C1295">
        <w:rPr>
          <w:rFonts w:eastAsiaTheme="minorHAnsi"/>
          <w:b/>
          <w:sz w:val="24"/>
          <w:szCs w:val="24"/>
          <w:lang w:eastAsia="en-US"/>
        </w:rPr>
        <w:lastRenderedPageBreak/>
        <w:t>III – DECISÃO</w:t>
      </w:r>
    </w:p>
    <w:p w:rsidR="00CB52F0" w:rsidRPr="00BE01B4" w:rsidRDefault="00CB52F0" w:rsidP="00CB52F0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 xml:space="preserve">Ante o exposto, </w:t>
      </w:r>
      <w:r w:rsidRPr="004864FF">
        <w:rPr>
          <w:rFonts w:eastAsiaTheme="minorHAnsi"/>
          <w:lang w:eastAsia="en-US"/>
        </w:rPr>
        <w:t xml:space="preserve">com fulcro </w:t>
      </w:r>
      <w:r>
        <w:rPr>
          <w:rFonts w:eastAsiaTheme="minorHAnsi"/>
          <w:lang w:eastAsia="en-US"/>
        </w:rPr>
        <w:t xml:space="preserve">no artigo 182, inciso XIX, do Regimento </w:t>
      </w:r>
      <w:r w:rsidRPr="004864FF">
        <w:rPr>
          <w:rFonts w:eastAsiaTheme="minorHAnsi"/>
          <w:lang w:eastAsia="en-US"/>
        </w:rPr>
        <w:t>Interno do Tribunal de Justiça do Estado do Paraná, não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se conhece</w:t>
      </w:r>
      <w:r>
        <w:rPr>
          <w:rFonts w:eastAsiaTheme="minorHAnsi"/>
          <w:lang w:eastAsia="en-US"/>
        </w:rPr>
        <w:t xml:space="preserve"> do recurso.</w:t>
      </w:r>
    </w:p>
    <w:p w:rsidR="00CB52F0" w:rsidRDefault="00CB52F0" w:rsidP="00CB52F0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Intimem-se.</w:t>
      </w:r>
    </w:p>
    <w:p w:rsidR="00CB52F0" w:rsidRPr="0006035A" w:rsidRDefault="00CB52F0" w:rsidP="0006035A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Oportunamente, arquivem-se os autos</w:t>
      </w:r>
      <w:r w:rsidR="0006035A">
        <w:rPr>
          <w:rFonts w:eastAsiaTheme="minorHAnsi"/>
          <w:sz w:val="24"/>
          <w:szCs w:val="24"/>
          <w:lang w:eastAsia="en-US"/>
        </w:rPr>
        <w:t>.</w:t>
      </w:r>
      <w:bookmarkEnd w:id="0"/>
    </w:p>
    <w:sectPr w:rsidR="00CB52F0" w:rsidRPr="0006035A" w:rsidSect="004864F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A7E" w:rsidRDefault="00E57A7E" w:rsidP="00E57A7E">
      <w:r>
        <w:separator/>
      </w:r>
    </w:p>
  </w:endnote>
  <w:endnote w:type="continuationSeparator" w:id="0">
    <w:p w:rsidR="00E57A7E" w:rsidRDefault="00E57A7E" w:rsidP="00E57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A7E" w:rsidRDefault="00E57A7E" w:rsidP="00E57A7E">
      <w:r>
        <w:separator/>
      </w:r>
    </w:p>
  </w:footnote>
  <w:footnote w:type="continuationSeparator" w:id="0">
    <w:p w:rsidR="00E57A7E" w:rsidRDefault="00E57A7E" w:rsidP="00E57A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E9"/>
    <w:rsid w:val="0006035A"/>
    <w:rsid w:val="00062DDB"/>
    <w:rsid w:val="00132CD6"/>
    <w:rsid w:val="003B0C74"/>
    <w:rsid w:val="00437982"/>
    <w:rsid w:val="004864FF"/>
    <w:rsid w:val="006E1B3D"/>
    <w:rsid w:val="00704CE9"/>
    <w:rsid w:val="007C1295"/>
    <w:rsid w:val="0080753B"/>
    <w:rsid w:val="00A004C3"/>
    <w:rsid w:val="00A7640C"/>
    <w:rsid w:val="00B40E92"/>
    <w:rsid w:val="00BD3F10"/>
    <w:rsid w:val="00C64155"/>
    <w:rsid w:val="00CB52F0"/>
    <w:rsid w:val="00DA36D7"/>
    <w:rsid w:val="00E5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49E93"/>
  <w15:chartTrackingRefBased/>
  <w15:docId w15:val="{D3730363-B3BA-4D3E-BDB1-007CEEE3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57A7E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57A7E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Refdenotadefim">
    <w:name w:val="endnote reference"/>
    <w:basedOn w:val="Fontepargpadro"/>
    <w:uiPriority w:val="99"/>
    <w:semiHidden/>
    <w:unhideWhenUsed/>
    <w:rsid w:val="00E57A7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132CD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52F0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4.xml"/><Relationship Id="rId5" Type="http://schemas.openxmlformats.org/officeDocument/2006/relationships/footnotes" Target="footnotes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683F98-D0B6-4079-AF21-6BD4AA3696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C7C58D-C11C-4A9C-9952-AE545E0361FE}"/>
</file>

<file path=customXml/itemProps3.xml><?xml version="1.0" encoding="utf-8"?>
<ds:datastoreItem xmlns:ds="http://schemas.openxmlformats.org/officeDocument/2006/customXml" ds:itemID="{BA988796-7405-4E82-9661-2A1E5BC8C20D}"/>
</file>

<file path=customXml/itemProps4.xml><?xml version="1.0" encoding="utf-8"?>
<ds:datastoreItem xmlns:ds="http://schemas.openxmlformats.org/officeDocument/2006/customXml" ds:itemID="{1BEFBDB3-7C11-4AA8-85FB-56B86AA56A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493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5</cp:revision>
  <dcterms:created xsi:type="dcterms:W3CDTF">2023-06-26T17:41:00Z</dcterms:created>
  <dcterms:modified xsi:type="dcterms:W3CDTF">2024-08-13T20:49:00Z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343200</vt:r8>
  </property>
</Properties>
</file>