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B1AD5C" w14:textId="4E2D5726" w:rsidR="000313A0" w:rsidRDefault="000313A0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DIREITO PENAL. DIREITO PROCESSUAL PENAL.</w:t>
      </w:r>
      <w:r w:rsidR="0069421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TRÁFICO DE DROGAS.</w:t>
      </w:r>
      <w:r w:rsidR="0069421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ART. 33, § 4º DA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LEI </w:t>
      </w:r>
      <w:r w:rsidR="0069421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Nº 11.343/2006. ARGIUÇÃO RECURSAL DE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NULIDADE DE PROVA</w:t>
      </w:r>
      <w:r w:rsidR="0069421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VIOLAÇÃO DE DOMICÍLIO. INOCORRÊNCIA. AUTORIZAÇÃO PARA ENTRADA E VISTORIA PELA COMPANHEIRA DO FLAGRANTEADO. SATISFAÇÃO DO REQUISITO CONSTITUCIONAL. ART. 5º, XI, DA CFRB. VISTORIA EM ESTABELECIMENTO COMERCIAL ABERTO AO PÚBLICO. POSSIBLIDADE DE INGRESSO E VISTORIA. VALIDADE DAS PRISÕES EM FLAGRANTE. RECURSO CONHECIDO E DESPROVIDO.</w:t>
      </w:r>
    </w:p>
    <w:p w14:paraId="3C753807" w14:textId="784B34A9" w:rsidR="0069421B" w:rsidRDefault="0069421B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A autorização do morador, constatada</w:t>
      </w:r>
      <w:r w:rsidR="002D65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de modo expresso e inequívoco em depoimento policial, permite o ingresso e vistoria da policial militar no interior da residência. Inteligência do artigo 5º, inciso XI, da Constituição da República.</w:t>
      </w:r>
    </w:p>
    <w:p w14:paraId="3F6B4BE2" w14:textId="2EB30EC7" w:rsidR="0069421B" w:rsidRDefault="0069421B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</w:t>
      </w:r>
      <w:r w:rsidR="002D65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Não goza da mesma proteção constitucional </w:t>
      </w:r>
      <w:r w:rsidR="00CD5E87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de inviolabilidade do domicílio o </w:t>
      </w:r>
      <w:r w:rsidR="002D6509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estabelecimento comercial aberto ao público.</w:t>
      </w:r>
    </w:p>
    <w:p w14:paraId="3C28A291" w14:textId="6B7C9D84" w:rsidR="0069421B" w:rsidRDefault="0069421B" w:rsidP="004E1BC4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3. Recurso conhecido e desprovido.</w:t>
      </w:r>
    </w:p>
    <w:p w14:paraId="1A0406AF" w14:textId="77777777" w:rsidR="00CD5E87" w:rsidRDefault="00CD5E8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14:paraId="702E0484" w14:textId="264AAE0E" w:rsidR="00D74F23" w:rsidRPr="00232FDD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32F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4BB189BE" w14:textId="22B08DAF" w:rsidR="002F63C7" w:rsidRDefault="002F63C7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Cuida-se de Recurso de Apelação Criminal, autuado sob o nº </w:t>
      </w:r>
      <w:r w:rsidRPr="002F63C7">
        <w:rPr>
          <w:rFonts w:ascii="Times New Roman" w:eastAsia="Times New Roman" w:hAnsi="Times New Roman" w:cs="Times New Roman"/>
          <w:sz w:val="24"/>
          <w:szCs w:val="24"/>
          <w:lang w:eastAsia="pt-BR"/>
        </w:rPr>
        <w:t>0030251-19.2020.8.16.0021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interposto por Davi Santos Martins e Gleyson Goulart em face do Ministério Público do Paraná, contra sentença proferida pelo juízo da 4ª Vara Criminal de Cascavel, que julgou procedente pretensão </w:t>
      </w:r>
      <w:r w:rsidR="009239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estatal para condená-los pela prática do crime previsto no artigo 33, § 4º da Lei 11.343 de 2006 às penas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2 (dois) anos e 6 (seis) meses de reclusão e multa de 250 (duzentos e cinquenta) dias-multa à razão de 1/30 avos de salário mínimo cada</w:t>
      </w:r>
      <w:r w:rsidR="0092395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(evento 193.5 – autos de origem).</w:t>
      </w:r>
    </w:p>
    <w:p w14:paraId="422190BF" w14:textId="4CA08453" w:rsidR="002F63C7" w:rsidRDefault="0092395B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Eis as razões de inconformismo:</w:t>
      </w:r>
      <w:r w:rsidR="00031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a) são ilícitas as provas angariadas com base buscas pessoal e domiciliar realizadas;</w:t>
      </w:r>
      <w:r w:rsidR="00031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b) inexiste fato a justificar o ingresso dos policiais militares na residência de Gleyson e no estabelecimento comercial de Davi;</w:t>
      </w:r>
      <w:r w:rsidR="00031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c) não há prova de autorização por escrito para ingresso nos locais</w:t>
      </w:r>
      <w:r w:rsidR="000313A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d) a ilegalidade da atuação dos policiais que efetuaram o flagrante acomete de nulidade as provas que ensejaram condenação (evento 16.1).</w:t>
      </w:r>
    </w:p>
    <w:p w14:paraId="54911BB2" w14:textId="5A52F0E7" w:rsidR="00CD5E87" w:rsidRDefault="00232FDD" w:rsidP="00CD5E8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Em contraminuta, o Ministério Público do Estado do Paraná sustentou que:</w:t>
      </w:r>
      <w:r w:rsidR="00CD5E8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a) o recurso preenche todos os requisitos de admissibilidade; b) o ingresso da polícia em estabelecimento comercial aberto ao público não se submete aos mesmos requisitos do ingresso em local destinado à residência; c) a constatação de entorpecentes no interior do estabelecimento comercial configurou situação de flagrante a permitir o ingresso na residência de Gleyson, situada no mesmo terreno; d) inexiste ilegalidade na atuação dos policiais militares a ensejar nulidade da prisão em flagrante ou provas correlatamente obtidas (evento 19.1).</w:t>
      </w:r>
    </w:p>
    <w:p w14:paraId="3AF0AEBA" w14:textId="3C753E22" w:rsidR="00CD5E87" w:rsidRDefault="00CD5E87" w:rsidP="00CD5E87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Opinou a Procuradoria-Geral de Justiça pelo desprovimento do apelo, pelas seguintes razões: a) a busca pessoal, veicular, bem como entrada e vistoria na residência de Gleyson foi autorizada previamente por sua companheira, também moradora do local, Caroline; b) segundo depoimentos dos policiais militares, o ingresso e vistoria no estabelecimento comercial de Davi foi previamente autorizado por ele;</w:t>
      </w:r>
      <w:r w:rsidR="009C0C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c) as declarações dos policiais, enquanto agentes de segurança, são dotados de fé pública, presumindo-se verdadeiras suas narrativas (evento 23.1).</w:t>
      </w:r>
    </w:p>
    <w:p w14:paraId="120EB578" w14:textId="2159328F" w:rsidR="00877694" w:rsidRDefault="0087769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3CB82635" w14:textId="77777777" w:rsidR="000313A0" w:rsidRDefault="000313A0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</w:p>
    <w:p w14:paraId="5B3E7BDA" w14:textId="79FB6755" w:rsidR="00D74F23" w:rsidRPr="00232FDD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232F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6F6D7948" w14:textId="70D2608C" w:rsidR="00D3271F" w:rsidRDefault="004C597D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II.I – JUÍZO DE ADMISSIBILIDADE</w:t>
      </w:r>
    </w:p>
    <w:p w14:paraId="51CEC854" w14:textId="6D25468C" w:rsidR="004C597D" w:rsidRDefault="001065FF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Satisfeitos os pressupostos de admissibilidade, conhece-se do presente recurso.</w:t>
      </w:r>
    </w:p>
    <w:p w14:paraId="5928D3A4" w14:textId="0C956E76" w:rsidR="004C597D" w:rsidRDefault="004C597D" w:rsidP="00D3271F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639D3D03" w14:textId="52CB9467" w:rsidR="004C597D" w:rsidRDefault="004C597D" w:rsidP="00982E3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II.II – </w:t>
      </w:r>
      <w:r w:rsidR="001065F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DA NULIDADE DAS PROVAS</w:t>
      </w:r>
    </w:p>
    <w:p w14:paraId="6FD379F9" w14:textId="14AE9A0C" w:rsidR="00982E3A" w:rsidRDefault="00982E3A" w:rsidP="00982E3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Colhe-se dos autos que a atuação da polícia militar na prisão em flagrante dos apelantes ocorreu numa ordem cronológica que afasta as alegações de nulidade de prova sustentadas pela defesa nas razões de inconformismo.</w:t>
      </w:r>
    </w:p>
    <w:p w14:paraId="7E75B49D" w14:textId="784D6079" w:rsidR="007A6D56" w:rsidRDefault="007A6D56" w:rsidP="00982E3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diligência policial foi orientada pelas premissas de denúncias anônimas de populares em situações de patrulhamento de que havia comércio e consumo de entorpecentes na tabacaria de propriedade de Davi, bem como de distribuição de drogas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na região com veículo de características semelhantes ao que era conduzido por Caroline Aparecida Arruda, companheira de Gleyson (eventos </w:t>
      </w:r>
      <w:r w:rsidR="001065F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1.6, 1.8,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180.3 e 192.1 – autos de origem).</w:t>
      </w:r>
    </w:p>
    <w:p w14:paraId="015015CE" w14:textId="453E54FC" w:rsidR="007A6D56" w:rsidRDefault="00982E3A" w:rsidP="00982E3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Num primeiro momento, a polícia militar abordou Caroline</w:t>
      </w:r>
      <w:r w:rsidR="007A6D5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7A6D5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conduzia veículo compatível com aquele cujas denúncias de populares indicavam utilização como instrumento de tráfico. Concomitantemente à abordagem de Caroline, os militares abordaram Davi na frente do estabelecimento comercial e, após vistoria, lo</w:t>
      </w:r>
      <w:r w:rsidR="002556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calizaram um tablete de maconha (</w:t>
      </w:r>
      <w:r w:rsidR="001065F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eventos 1.6, 1.8, 180.3 e 192.1 – autos de origem</w:t>
      </w:r>
      <w:r w:rsidR="002556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).</w:t>
      </w:r>
    </w:p>
    <w:p w14:paraId="53FA0484" w14:textId="79AB625F" w:rsidR="00255666" w:rsidRDefault="00255666" w:rsidP="00982E3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No mesmo contexto, Caroline franqueou a entrada dos policiais em seu domicílio, onde residia com o companheiro Gleyson. Consigne-se que, em seu depoimento pessoal prestado na fase de inquérito, Caroline reiterou de maneira expressa a autorização concedida aos militares, </w:t>
      </w:r>
      <w:r w:rsidR="001065F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tanto para revista de seu veículo, quanto para entrada e revista em sua residência (evento 1.16 – autos de origem).</w:t>
      </w:r>
    </w:p>
    <w:p w14:paraId="2CB6929B" w14:textId="7A398F09" w:rsidR="001065FF" w:rsidRDefault="001065FF" w:rsidP="00982E3A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recognição fática que orienta referida construção cronológica decorre do exame dos depoimentos dos policiais militares Eduardo Ferres Gonçalves (eventos 1.6 e 180.3) e Lucas Luan Gonçalves (eventos 1.8 e 192.1) em cotejo como o depoimento pessoal de Caroline Aparecida Arruda, companheira de Gleyson na época dos fatos (evento 1.16 – autos de origem).</w:t>
      </w:r>
    </w:p>
    <w:p w14:paraId="2F88B70E" w14:textId="3E33D585" w:rsidR="00386B7D" w:rsidRDefault="00386B7D" w:rsidP="00386B7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se ignora o entendimento firmado pelo Superior Tribunal de Justiça sobre os requisitos para a abordagem policial (CPP, art, 244), no sentido de que “não satisfazem a exigência legal, por si sós, meras informações de fonte não identificada ou intuições e impressões subjetivas, intangíveis e demonstráveis de maneira clara e concretada, apoiadas, por exemplo, no tirocínio policial” (</w:t>
      </w:r>
      <w:r>
        <w:rPr>
          <w:rFonts w:ascii="Times New Roman" w:hAnsi="Times New Roman" w:cs="Times New Roman"/>
          <w:sz w:val="24"/>
          <w:szCs w:val="24"/>
        </w:rPr>
        <w:t>STJ, 6ª Turma, AgRg no AREsp nº 2142037, Rel. Min. Olindo Menezes, DJe 30/09/2022).</w:t>
      </w:r>
    </w:p>
    <w:p w14:paraId="24F5ACD1" w14:textId="2832F9D5" w:rsidR="00386B7D" w:rsidRDefault="00386B7D" w:rsidP="00386B7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Ocorre que, segundo o conteúdo informativo dos elementos de prova angariados durante a instrução processual, o primeiro ato da diligência policial, tanto assim considerada a revista pessoal e veicular de Caroline, foi realizada mediante expresso e inequívoco consentimento, razão pela qual inexiste ilegalidade a ser declarada no proêmio da diligência.</w:t>
      </w:r>
    </w:p>
    <w:p w14:paraId="04A18612" w14:textId="092CC07A" w:rsidR="004D4CF2" w:rsidRDefault="004D4CF2" w:rsidP="004D4CF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Neste ponto, contrariamente ao alegado pela defesa nas razões recursais, não se cogita constatação de ilegalidade na abordagem policial </w:t>
      </w:r>
      <w:r w:rsidR="009C0C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por ausência de fundada suspeita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porque, como sobredito, Caroline</w:t>
      </w:r>
      <w:r w:rsidR="009C0C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colaborativa com a atuação do</w:t>
      </w:r>
      <w:r w:rsidR="009C0C6C">
        <w:rPr>
          <w:rFonts w:ascii="Times New Roman" w:eastAsia="Times New Roman" w:hAnsi="Times New Roman" w:cs="Times New Roman"/>
          <w:sz w:val="24"/>
          <w:szCs w:val="24"/>
          <w:lang w:eastAsia="pt-BR"/>
        </w:rPr>
        <w:t>s agentes de segurança pública, autorizou a busca</w:t>
      </w:r>
      <w:r w:rsidR="00D907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pessoal, veicular e domiciliar, em momento de abordagem cronologicamente anterior a qualquer inspeção ou busca pessoal.</w:t>
      </w:r>
    </w:p>
    <w:p w14:paraId="4A434D15" w14:textId="5CB57132" w:rsidR="00386B7D" w:rsidRDefault="00386B7D" w:rsidP="00386B7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Nessa toada, o ingresso dos policiais do domicílio de Caroline, logo após a constatação de maconha no estabelecimento comercial situado no mesmo lote, também não padece de nulidade porque, igualmente, o ingresso da polícia militar esteve apoiado na autori</w:t>
      </w:r>
      <w:r w:rsidR="00651CB6">
        <w:rPr>
          <w:rFonts w:ascii="Times New Roman" w:eastAsia="Times New Roman" w:hAnsi="Times New Roman" w:cs="Times New Roman"/>
          <w:sz w:val="24"/>
          <w:szCs w:val="24"/>
          <w:lang w:eastAsia="pt-BR"/>
        </w:rPr>
        <w:t>zação da moradora da residência, em estrita observância aos requisitos inscritos no artigo 5ª, inciso XI, da Constituição da República de 1988</w:t>
      </w:r>
      <w:r w:rsidR="00651CB6">
        <w:rPr>
          <w:rStyle w:val="Refdenotadefim"/>
          <w:rFonts w:ascii="Times New Roman" w:eastAsia="Times New Roman" w:hAnsi="Times New Roman" w:cs="Times New Roman"/>
          <w:sz w:val="24"/>
          <w:szCs w:val="24"/>
          <w:lang w:eastAsia="pt-BR"/>
        </w:rPr>
        <w:endnoteReference w:id="1"/>
      </w:r>
      <w:r w:rsidR="00651CB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7C462C2" w14:textId="2C04BFDB" w:rsidR="00651CB6" w:rsidRDefault="00651CB6" w:rsidP="00386B7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Por consequência, não há falar-se em inconstitucionalidade (CRFB, art. 5º, XI) ou ilegalidade (CPP, art. 245) na etapa da diligência policial que culminou com a constatação de entorpecentes sob posse de Gleyson, porquanto precedida de autorização para ingresso e vistoria por moradora</w:t>
      </w:r>
      <w:r w:rsidR="0069421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(evento 1.16 – autos de origem).</w:t>
      </w:r>
    </w:p>
    <w:p w14:paraId="05D61E56" w14:textId="43136BF3" w:rsidR="003F7285" w:rsidRDefault="004D4CF2" w:rsidP="00386B7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Passando-se adiante</w:t>
      </w:r>
      <w:r w:rsidR="003F7285">
        <w:rPr>
          <w:rFonts w:ascii="Times New Roman" w:eastAsia="Times New Roman" w:hAnsi="Times New Roman" w:cs="Times New Roman"/>
          <w:sz w:val="24"/>
          <w:szCs w:val="24"/>
          <w:lang w:eastAsia="pt-BR"/>
        </w:rPr>
        <w:t>, pondera-se que a tabacaria de propriedade de Davi, por sua natureza de estabelecimento comercial aberto ao público, não recebe a mesma proteção de inviolabilidade que Constituição da República garante à casa. Neste sentido:</w:t>
      </w:r>
    </w:p>
    <w:p w14:paraId="33239B57" w14:textId="5EDD0022" w:rsidR="003F7285" w:rsidRPr="003F7285" w:rsidRDefault="003F7285" w:rsidP="003F7285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>HABEAS CORPUS. POSSE IRREGULAR DE MUNIÇÃO. NULIDADE PROBATÓRIA. INVASÃO DE IMÓVEL SEM MANDADO JUDICIAL. ESTABELECIMENTO COMERCIAL. LOCAL ABERTO AO PÚBLICO. INVIOLABILIDADE DE DOMICÍLIO. NÃO OCORRÊNCIA. PRINCÍPIO DA CONSUNÇÃO. RECEPTAÇÃO E POSSE ILEGAL DE MUNIÇÃO. CRIMES DE NATUREZA AUTÔNOMA. PENA-BASE. EXPRESSIVA QUANTIDADE DE ARMAMENTO APREENDIDO. MAJORAÇÃO. FUNDAMENTAÇÃO IDÔNEA. ORDEM DENEGADA.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>1. Na hipótese, a equipe policial recebeu denúncia anônima dando conta de que parte do carregamento subtraído de um roubo (armas e munições) estava nas dependências da borracharia pertencente ao réu, diante do que procederam à diligência ao local. Aguardaram até não mais ter clientes nas dependências do estabelecimento, quando abordaram o acusado e adentraram ao local.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2. Tendo ocorrido a abordagem policial em imóvel no qual funciona estabelecimento comercial, ainda que a diligência tenha ocorrido quando não havia mais clientes, a hipótese é de local aberto ao público, que não recebe a proteção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lastRenderedPageBreak/>
        <w:t>constitucional da inviolabilidade do domicílio.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>3. Conforme jurisprudência desta Corte "é inaplicável o princípio da consunção entre os delitos de receptação e porte ilegal de arma de fogo, por serem diversas a natureza jurídica dos tipos penais.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>(AgRg no REsp n. 1.633.479/RS, relator Ministro Jorge Mussi, Quinta Turma, julgado em 6/11/2018, DJe de 16/11/2018.) 4. A apreensão de elevada quantidade de munição - no caso concreto 9.550 munições calibre .40; 3.700 munições calibre .380; 41 munições calibre .38, e 10 munições calibre .22 quanto ao crime do Art. 12, caput, da Lei n. 10.826/0; e 200 munições calibre .12; 1.000 munições calibre 7.62 e 2.000 munições calibre 5.56 referente ao delito do art. 16, caput, da Lei n. 10.826/03 - extrapola a prática comum delitiva, constituindo justificativa idônea para o aumento da pena-base.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>5. Habeas corpus denegado.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STJ. </w:t>
      </w:r>
      <w:r w:rsidRPr="003F7285">
        <w:rPr>
          <w:rFonts w:ascii="Times New Roman" w:eastAsia="Times New Roman" w:hAnsi="Times New Roman" w:cs="Times New Roman"/>
          <w:sz w:val="20"/>
          <w:szCs w:val="24"/>
          <w:lang w:eastAsia="pt-BR"/>
        </w:rPr>
        <w:t>HC n. 754.789/RS, relator Ministro Olindo Menezes (Desembargador Convocado do TRF 1ª Região), Sexta Turma, julgado em 6/12/2022, DJe de 15/12/2022.)</w:t>
      </w:r>
    </w:p>
    <w:p w14:paraId="5D7F0300" w14:textId="2F91DC07" w:rsidR="003F7285" w:rsidRDefault="003F7285" w:rsidP="00386B7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caso concreto, as denúncias anônimas de moradores da região sobre a prática de tráfico de drogas no estabelecimento comercial aberto ao público são fatores que, a rigor da jurisprudência do Superior Tribunal de Justiça, permitem o ingresso e vistoria da polícia militar, razão pela qual a diligência policial neste particular encontra-se legalmente perfeita.</w:t>
      </w:r>
    </w:p>
    <w:p w14:paraId="17F3086B" w14:textId="77777777" w:rsidR="00D907CB" w:rsidRDefault="00D907CB" w:rsidP="00386B7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Diante, pois, das premissas alinhavadas, dessume-se que a entrada dos policiais no estabelecimento comercial sob fundada suspeita, consubstanciada em informações fornecidas pela população local da ocorrência de tráfico de drogas, não padece de ilegalidade a ensejar nulidade da prisão e das provas dela derivadas.</w:t>
      </w:r>
    </w:p>
    <w:p w14:paraId="09B2B769" w14:textId="3959DB6C" w:rsidR="004D4CF2" w:rsidRDefault="00D907CB" w:rsidP="00386B7D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Não há, portanto, falar-se em ilegalidade na atuação dos policiais militares, tampouco nulidade de provas, impondo-se a manutenção da sentença condenatória, fundamentada em escorreita análise das circunstâncias do caso concreto em cotejo com os dispositivos legais aplicáveis à espécie, segundo precedentes da Corte Superior.</w:t>
      </w:r>
    </w:p>
    <w:p w14:paraId="4BCF5EA2" w14:textId="3B60AAD5" w:rsidR="00DA4BD2" w:rsidRPr="004C597D" w:rsidRDefault="004C597D" w:rsidP="00DA4B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C59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II.</w:t>
      </w:r>
      <w:r w:rsidR="00982E3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III</w:t>
      </w:r>
      <w:r w:rsidRPr="004C59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–</w:t>
      </w:r>
      <w:r w:rsidRPr="004C597D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CONCLUSÃO</w:t>
      </w:r>
    </w:p>
    <w:p w14:paraId="37B5284C" w14:textId="2F6AB347" w:rsidR="00D74F23" w:rsidRDefault="00D74F23" w:rsidP="00DA4BD2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4F23">
        <w:rPr>
          <w:rFonts w:ascii="Times New Roman" w:eastAsia="Times New Roman" w:hAnsi="Times New Roman" w:cs="Times New Roman"/>
          <w:sz w:val="24"/>
          <w:szCs w:val="24"/>
          <w:lang w:eastAsia="pt-BR"/>
        </w:rPr>
        <w:t>Ante o exposto, vota-se pelo conhecim</w:t>
      </w:r>
      <w:r w:rsidR="004C597D">
        <w:rPr>
          <w:rFonts w:ascii="Times New Roman" w:eastAsia="Times New Roman" w:hAnsi="Times New Roman" w:cs="Times New Roman"/>
          <w:sz w:val="24"/>
          <w:szCs w:val="24"/>
          <w:lang w:eastAsia="pt-BR"/>
        </w:rPr>
        <w:t>ento e desprovimento do recurso</w:t>
      </w:r>
      <w:r w:rsidRPr="00D74F2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DF429EE" w14:textId="77777777" w:rsidR="004C597D" w:rsidRDefault="004C597D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7B7D0" w14:textId="52B752E6" w:rsidR="00D74F23" w:rsidRPr="004C597D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4C597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 - DECISÃO</w:t>
      </w:r>
    </w:p>
    <w:p w14:paraId="76BAF0D5" w14:textId="77777777" w:rsidR="004C597D" w:rsidRDefault="00D74F23" w:rsidP="002F0485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74F23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ACORDAM os integrantes da </w:t>
      </w:r>
      <w:r w:rsidR="004C597D">
        <w:rPr>
          <w:rFonts w:ascii="Times New Roman" w:eastAsia="Times New Roman" w:hAnsi="Times New Roman" w:cs="Times New Roman"/>
          <w:sz w:val="24"/>
          <w:szCs w:val="24"/>
          <w:lang w:eastAsia="pt-BR"/>
        </w:rPr>
        <w:t>4ª Câmara Criminal do Tribunal de Justiça do Estado do Paraná, por unanimidade de votos, em conhecer e negar provimento à Apelação Criminal interposta por Davi Santos Martins e Gleyson Goulart, nos termos do voto do Relator.</w:t>
      </w:r>
      <w:bookmarkEnd w:id="0"/>
    </w:p>
    <w:sectPr w:rsidR="004C5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  <w:endnote w:id="1">
    <w:p w14:paraId="46E94C77" w14:textId="77777777" w:rsidR="00651CB6" w:rsidRDefault="00651CB6" w:rsidP="00651CB6">
      <w:pPr>
        <w:pStyle w:val="Textodenotadefim"/>
        <w:spacing w:after="240" w:line="360" w:lineRule="auto"/>
        <w:ind w:firstLine="709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651CB6">
        <w:rPr>
          <w:rStyle w:val="Refdenotadefim"/>
          <w:rFonts w:ascii="Times New Roman" w:hAnsi="Times New Roman" w:cs="Times New Roman"/>
        </w:rPr>
        <w:endnoteRef/>
      </w:r>
      <w:r w:rsidRPr="00651CB6">
        <w:rPr>
          <w:rFonts w:ascii="Times New Roman" w:hAnsi="Times New Roman" w:cs="Times New Roman"/>
        </w:rPr>
        <w:t xml:space="preserve"> </w:t>
      </w:r>
      <w:r w:rsidRPr="00651CB6">
        <w:rPr>
          <w:rFonts w:ascii="Times New Roman" w:hAnsi="Times New Roman" w:cs="Times New Roman"/>
          <w:color w:val="000000"/>
          <w:shd w:val="clear" w:color="auto" w:fill="FFFFFF"/>
        </w:rPr>
        <w:t>Art. 5º Todos são iguais perante a lei, sem distinção de qualquer natureza, garantindo-se aos brasileiros e aos estrangeiros residentes no País a inviolabilidade do direito à vida, à liberdade, à igualdade, à segurança e à propriedade, nos termos seguintes:</w:t>
      </w:r>
    </w:p>
    <w:p w14:paraId="720C261C" w14:textId="42EEC2D6" w:rsidR="00651CB6" w:rsidRPr="00651CB6" w:rsidRDefault="00651CB6" w:rsidP="00651CB6">
      <w:pPr>
        <w:pStyle w:val="Textodenotadefim"/>
        <w:spacing w:after="240" w:line="360" w:lineRule="auto"/>
        <w:ind w:firstLine="709"/>
        <w:jc w:val="both"/>
        <w:rPr>
          <w:rFonts w:ascii="Times New Roman" w:hAnsi="Times New Roman" w:cs="Times New Roman"/>
        </w:rPr>
      </w:pPr>
      <w:r w:rsidRPr="00651CB6">
        <w:rPr>
          <w:rFonts w:ascii="Times New Roman" w:hAnsi="Times New Roman" w:cs="Times New Roman"/>
          <w:color w:val="000000"/>
          <w:shd w:val="clear" w:color="auto" w:fill="FFFFFF"/>
        </w:rPr>
        <w:t>[...]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651CB6">
        <w:rPr>
          <w:rFonts w:ascii="Times New Roman" w:hAnsi="Times New Roman" w:cs="Times New Roman"/>
          <w:color w:val="000000"/>
          <w:shd w:val="clear" w:color="auto" w:fill="FFFFFF"/>
        </w:rPr>
        <w:t>XI - a casa é asilo inviolável do indivíduo, ninguém nela podendo penetrar sem consentimento do morador, salvo em caso de flagrante delito ou desastre, ou para prestar socorro, ou, durante o dia, por determinação judicial;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13A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4A6B"/>
    <w:rsid w:val="000753E6"/>
    <w:rsid w:val="00075CD3"/>
    <w:rsid w:val="000771EB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065FF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2FDD"/>
    <w:rsid w:val="002372A2"/>
    <w:rsid w:val="00250B16"/>
    <w:rsid w:val="00250CAB"/>
    <w:rsid w:val="00251BE7"/>
    <w:rsid w:val="00255666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6509"/>
    <w:rsid w:val="002D651A"/>
    <w:rsid w:val="002E64B7"/>
    <w:rsid w:val="002E7B89"/>
    <w:rsid w:val="002F0485"/>
    <w:rsid w:val="002F35CF"/>
    <w:rsid w:val="002F37D9"/>
    <w:rsid w:val="002F63C7"/>
    <w:rsid w:val="002F78A8"/>
    <w:rsid w:val="00304E90"/>
    <w:rsid w:val="00305348"/>
    <w:rsid w:val="00305698"/>
    <w:rsid w:val="0032286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5DC5"/>
    <w:rsid w:val="00376120"/>
    <w:rsid w:val="00377569"/>
    <w:rsid w:val="00380F70"/>
    <w:rsid w:val="00386B7D"/>
    <w:rsid w:val="003A43F7"/>
    <w:rsid w:val="003B513B"/>
    <w:rsid w:val="003C7E9F"/>
    <w:rsid w:val="003E0B11"/>
    <w:rsid w:val="003F517F"/>
    <w:rsid w:val="003F7285"/>
    <w:rsid w:val="00406FD8"/>
    <w:rsid w:val="00412E7C"/>
    <w:rsid w:val="00415A21"/>
    <w:rsid w:val="004178DE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97D"/>
    <w:rsid w:val="004C5BD8"/>
    <w:rsid w:val="004C6221"/>
    <w:rsid w:val="004C6EFE"/>
    <w:rsid w:val="004D3620"/>
    <w:rsid w:val="004D4CF2"/>
    <w:rsid w:val="004D7A88"/>
    <w:rsid w:val="004E1BC4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15AB9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51CB6"/>
    <w:rsid w:val="0066719E"/>
    <w:rsid w:val="00667279"/>
    <w:rsid w:val="006675EA"/>
    <w:rsid w:val="006744B1"/>
    <w:rsid w:val="00680312"/>
    <w:rsid w:val="00684A0B"/>
    <w:rsid w:val="00684EE9"/>
    <w:rsid w:val="0069421B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A6D56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5B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74E00"/>
    <w:rsid w:val="00982E3A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0C6C"/>
    <w:rsid w:val="009C1118"/>
    <w:rsid w:val="009C7E28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233AA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12"/>
    <w:rsid w:val="00B20524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6675D"/>
    <w:rsid w:val="00B70EAC"/>
    <w:rsid w:val="00B7653B"/>
    <w:rsid w:val="00B83B63"/>
    <w:rsid w:val="00B90614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684A"/>
    <w:rsid w:val="00BF033D"/>
    <w:rsid w:val="00C007C7"/>
    <w:rsid w:val="00C02481"/>
    <w:rsid w:val="00C029A5"/>
    <w:rsid w:val="00C0763E"/>
    <w:rsid w:val="00C112E3"/>
    <w:rsid w:val="00C173E7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D5E87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907CB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718E9"/>
    <w:rsid w:val="00F75981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795F6-1436-4542-8A86-FB69D1E110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31098F-9B30-4EF1-A1F1-D0C23F20B30E}"/>
</file>

<file path=customXml/itemProps3.xml><?xml version="1.0" encoding="utf-8"?>
<ds:datastoreItem xmlns:ds="http://schemas.openxmlformats.org/officeDocument/2006/customXml" ds:itemID="{774561B0-D5D3-4AAF-9A61-B0F43D7F78C2}"/>
</file>

<file path=customXml/itemProps4.xml><?xml version="1.0" encoding="utf-8"?>
<ds:datastoreItem xmlns:ds="http://schemas.openxmlformats.org/officeDocument/2006/customXml" ds:itemID="{07EFBCBA-8CA6-44BD-8348-27801B3426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6</Pages>
  <Words>1657</Words>
  <Characters>8949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10585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</cp:revision>
  <cp:lastPrinted>2023-02-01T16:46:00Z</cp:lastPrinted>
  <dcterms:created xsi:type="dcterms:W3CDTF">2023-06-15T19:39:00Z</dcterms:created>
  <dcterms:modified xsi:type="dcterms:W3CDTF">2023-08-11T21:14:00Z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344600</vt:r8>
  </property>
</Properties>
</file>