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89D" w:rsidRPr="009D3AE2" w:rsidRDefault="0075189D" w:rsidP="0075189D">
      <w:pPr>
        <w:pStyle w:val="PargrafodaLista"/>
        <w:ind w:left="0" w:firstLine="0"/>
        <w:rPr>
          <w:b/>
          <w:szCs w:val="24"/>
        </w:rPr>
      </w:pPr>
      <w:r w:rsidRPr="009D3AE2">
        <w:rPr>
          <w:b/>
          <w:szCs w:val="24"/>
        </w:rPr>
        <w:t>PENAL. PROCESSUAL PENAL. REVISÃO CRIMINAL. PRETENSÃO DE REVISÃO DE DOSIMETRIA. AUSÊNCIA DE CONTRARIEDADE À EVIDÊNCIA DOS AUTOS OU EXPRESSA PREVISÃO LEGAL. PRECEDENTES. REVISÃO CRIMINAL NÃO ADMITIDA.</w:t>
      </w:r>
    </w:p>
    <w:p w:rsidR="0075189D" w:rsidRPr="009D3AE2" w:rsidRDefault="0075189D" w:rsidP="0075189D">
      <w:pPr>
        <w:ind w:firstLine="0"/>
        <w:rPr>
          <w:b/>
          <w:szCs w:val="24"/>
        </w:rPr>
      </w:pPr>
      <w:r w:rsidRPr="009D3AE2">
        <w:rPr>
          <w:b/>
          <w:szCs w:val="24"/>
        </w:rPr>
        <w:t xml:space="preserve">1. Conquanto possível o refazimento da dosimetria em sede de revisão criminal, a admissibilidade da </w:t>
      </w:r>
      <w:proofErr w:type="spellStart"/>
      <w:r w:rsidRPr="009D3AE2">
        <w:rPr>
          <w:b/>
          <w:i/>
          <w:szCs w:val="24"/>
        </w:rPr>
        <w:t>actio</w:t>
      </w:r>
      <w:proofErr w:type="spellEnd"/>
      <w:r w:rsidRPr="009D3AE2">
        <w:rPr>
          <w:b/>
          <w:szCs w:val="24"/>
        </w:rPr>
        <w:t xml:space="preserve"> restringe-se às hipóteses do artigo 621, do Código de Processo Penal, que devem ser interpretadas de maneira restritiva (STF. </w:t>
      </w:r>
      <w:proofErr w:type="spellStart"/>
      <w:r w:rsidRPr="009D3AE2">
        <w:rPr>
          <w:b/>
          <w:szCs w:val="24"/>
        </w:rPr>
        <w:t>RvC</w:t>
      </w:r>
      <w:proofErr w:type="spellEnd"/>
      <w:r w:rsidRPr="009D3AE2">
        <w:rPr>
          <w:b/>
          <w:szCs w:val="24"/>
        </w:rPr>
        <w:t>: 5475 AM).</w:t>
      </w:r>
    </w:p>
    <w:p w:rsidR="0075189D" w:rsidRDefault="009D3AE2" w:rsidP="0075189D">
      <w:pPr>
        <w:ind w:firstLine="0"/>
        <w:rPr>
          <w:rFonts w:eastAsia="Times New Roman" w:cs="Times New Roman"/>
          <w:b/>
          <w:szCs w:val="24"/>
          <w:lang w:eastAsia="pt-BR"/>
        </w:rPr>
      </w:pPr>
      <w:r w:rsidRPr="009D3AE2">
        <w:rPr>
          <w:rFonts w:eastAsia="Times New Roman" w:cs="Times New Roman"/>
          <w:b/>
          <w:szCs w:val="24"/>
          <w:lang w:eastAsia="pt-BR"/>
        </w:rPr>
        <w:t>2</w:t>
      </w:r>
      <w:r w:rsidR="0075189D" w:rsidRPr="009D3AE2">
        <w:rPr>
          <w:rFonts w:eastAsia="Times New Roman" w:cs="Times New Roman"/>
          <w:b/>
          <w:szCs w:val="24"/>
          <w:lang w:eastAsia="pt-BR"/>
        </w:rPr>
        <w:t>. Revisão criminal não admitida.</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75189D" w:rsidRDefault="00AA28DF" w:rsidP="00AA28DF">
      <w:pPr>
        <w:pStyle w:val="PargrafodaLista"/>
        <w:ind w:left="0"/>
        <w:contextualSpacing w:val="0"/>
      </w:pPr>
      <w:r>
        <w:t>Cuida-se de</w:t>
      </w:r>
      <w:r w:rsidR="0075189D">
        <w:t xml:space="preserve"> revisão criminal ajuizada por Leandro Santana de Paula, tendo com objeto sentença prolatada pelo juízo da 1ª Vara Criminal de Toledo e confirmada pela 4ª Câmara Criminal do Tribunal de Justiça do Paraná, que o condenou, pelos crimes de tráfico e posse de arma de uso restrito, às penas de 12 (doze) anos, 6 (seis) meses e 26 (vinte e seis) dias de reclusão em regime inicial fechado e 917 (novecentos e dezessete) dias-multa (evento 106.1 – autos de origem).</w:t>
      </w:r>
    </w:p>
    <w:p w:rsidR="0075189D" w:rsidRDefault="0075189D" w:rsidP="00AA28DF">
      <w:pPr>
        <w:pStyle w:val="PargrafodaLista"/>
        <w:ind w:left="0"/>
        <w:contextualSpacing w:val="0"/>
      </w:pPr>
      <w:r>
        <w:t>Argumenta o requerente, em apertada síntese, que o aumento da pena base, no crime de tráfico, pela quantidade da substância, viola a proporcionalidade e razoabilidade (evento 1.1).</w:t>
      </w:r>
    </w:p>
    <w:p w:rsidR="0075189D" w:rsidRDefault="0075189D" w:rsidP="00AA28DF">
      <w:pPr>
        <w:pStyle w:val="PargrafodaLista"/>
        <w:ind w:left="0"/>
        <w:contextualSpacing w:val="0"/>
      </w:pPr>
      <w:r>
        <w:t xml:space="preserve">Opinou a Procuradoria-Geral de Justiça pela inadmissão da </w:t>
      </w:r>
      <w:proofErr w:type="spellStart"/>
      <w:r>
        <w:rPr>
          <w:i/>
        </w:rPr>
        <w:t>actio</w:t>
      </w:r>
      <w:proofErr w:type="spellEnd"/>
      <w:r>
        <w:rPr>
          <w:i/>
        </w:rPr>
        <w:t xml:space="preserve"> </w:t>
      </w:r>
      <w:r>
        <w:t>(evento 14.1).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75189D" w:rsidRDefault="00AA28DF" w:rsidP="0075189D">
      <w:pPr>
        <w:pStyle w:val="PargrafodaLista"/>
        <w:ind w:left="0"/>
        <w:contextualSpacing w:val="0"/>
      </w:pPr>
      <w:proofErr w:type="spellStart"/>
      <w:r>
        <w:t>II.I</w:t>
      </w:r>
      <w:proofErr w:type="spellEnd"/>
      <w:r>
        <w:t xml:space="preserve"> – DO JUÍZO DE ADMISSIBILIDADE</w:t>
      </w:r>
    </w:p>
    <w:p w:rsidR="0038619C" w:rsidRDefault="0075189D" w:rsidP="0038619C">
      <w:pPr>
        <w:pStyle w:val="PargrafodaLista"/>
        <w:ind w:left="0"/>
        <w:contextualSpacing w:val="0"/>
      </w:pPr>
      <w:r>
        <w:t>Cinge-se o objeto da demanda à arguição de</w:t>
      </w:r>
      <w:r w:rsidR="0038619C">
        <w:t xml:space="preserve"> inidoneidade do fundamento utilizado para inferir dedicação </w:t>
      </w:r>
      <w:proofErr w:type="gramStart"/>
      <w:r w:rsidR="0038619C">
        <w:t>à</w:t>
      </w:r>
      <w:proofErr w:type="gramEnd"/>
      <w:r w:rsidR="0038619C">
        <w:t xml:space="preserve"> atividades criminosas, requisito negativo do tráfico privilegiado.</w:t>
      </w:r>
    </w:p>
    <w:p w:rsidR="0075189D" w:rsidRDefault="0075189D" w:rsidP="0038619C">
      <w:pPr>
        <w:pStyle w:val="PargrafodaLista"/>
        <w:ind w:left="0"/>
        <w:contextualSpacing w:val="0"/>
      </w:pPr>
      <w:r>
        <w:lastRenderedPageBreak/>
        <w:t>O pleito, contudo, não se enquadra em nenhuma das hipóteses de admissão da revisão criminal, previstas no artigo 621, do Código de Processo Penal, que devem ser interpretadas de maneira restritiva, em homenagem à imutabilidade da coisa julgada.</w:t>
      </w:r>
    </w:p>
    <w:p w:rsidR="0075189D" w:rsidRDefault="0075189D" w:rsidP="0075189D">
      <w:pPr>
        <w:pStyle w:val="PargrafodaLista"/>
        <w:ind w:left="0"/>
      </w:pPr>
      <w:r>
        <w:t>A esse respeito:</w:t>
      </w:r>
    </w:p>
    <w:p w:rsidR="0075189D" w:rsidRDefault="0075189D" w:rsidP="0075189D">
      <w:pPr>
        <w:pStyle w:val="PargrafodaLista"/>
        <w:spacing w:before="600" w:after="600"/>
        <w:ind w:left="2268" w:firstLine="0"/>
        <w:contextualSpacing w:val="0"/>
        <w:rPr>
          <w:sz w:val="20"/>
        </w:rPr>
      </w:pPr>
      <w:r>
        <w:rPr>
          <w:sz w:val="20"/>
        </w:rPr>
        <w:t xml:space="preserve">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w:t>
      </w:r>
      <w:r>
        <w:rPr>
          <w:sz w:val="20"/>
        </w:rPr>
        <w:lastRenderedPageBreak/>
        <w:t xml:space="preserve">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 (STF - </w:t>
      </w:r>
      <w:proofErr w:type="spellStart"/>
      <w:r>
        <w:rPr>
          <w:sz w:val="20"/>
        </w:rPr>
        <w:t>RvC</w:t>
      </w:r>
      <w:proofErr w:type="spellEnd"/>
      <w:r>
        <w:rPr>
          <w:sz w:val="20"/>
        </w:rPr>
        <w:t xml:space="preserve">: 5475 AM - AMAZONAS 0081195-88.2018.1.00.0000, Relator: Min. EDSON </w:t>
      </w:r>
      <w:proofErr w:type="spellStart"/>
      <w:r>
        <w:rPr>
          <w:sz w:val="20"/>
        </w:rPr>
        <w:t>FACHIN</w:t>
      </w:r>
      <w:proofErr w:type="spellEnd"/>
      <w:r>
        <w:rPr>
          <w:sz w:val="20"/>
        </w:rPr>
        <w:t xml:space="preserve">, Data de Julgamento: 06/11/2019, Tribunal Pleno, Data de Publicação: </w:t>
      </w:r>
      <w:proofErr w:type="spellStart"/>
      <w:r>
        <w:rPr>
          <w:sz w:val="20"/>
        </w:rPr>
        <w:t>DJe</w:t>
      </w:r>
      <w:proofErr w:type="spellEnd"/>
      <w:r>
        <w:rPr>
          <w:sz w:val="20"/>
        </w:rPr>
        <w:t>-089 15-04-2020).</w:t>
      </w:r>
    </w:p>
    <w:p w:rsidR="0038619C" w:rsidRDefault="0075189D" w:rsidP="009D3AE2">
      <w:pPr>
        <w:pStyle w:val="PargrafodaLista"/>
        <w:ind w:left="0"/>
        <w:contextualSpacing w:val="0"/>
      </w:pPr>
      <w:r>
        <w:t xml:space="preserve">No caso concreto, </w:t>
      </w:r>
      <w:r w:rsidR="0038619C">
        <w:t>o fundamento utilizado encontra amparo na evidência dos autos e inexiste expressa previsão legal a obstar a avaliação realizada na sentença.</w:t>
      </w:r>
    </w:p>
    <w:p w:rsidR="0038619C" w:rsidRDefault="0038619C" w:rsidP="009D3AE2">
      <w:pPr>
        <w:pStyle w:val="PargrafodaLista"/>
        <w:ind w:left="0"/>
        <w:contextualSpacing w:val="0"/>
      </w:pPr>
      <w:r>
        <w:t xml:space="preserve">Em tempo, </w:t>
      </w:r>
      <w:r w:rsidR="005600CF">
        <w:t>não se admite, conforme escólio da Corte Superior, a utilização da revisão criminal como sucedâneo recursal:</w:t>
      </w:r>
    </w:p>
    <w:p w:rsidR="005600CF" w:rsidRPr="005600CF" w:rsidRDefault="005600CF" w:rsidP="005600CF">
      <w:pPr>
        <w:pStyle w:val="PargrafodaLista"/>
        <w:spacing w:before="600" w:after="600"/>
        <w:ind w:left="2268" w:firstLine="0"/>
        <w:contextualSpacing w:val="0"/>
        <w:rPr>
          <w:sz w:val="20"/>
        </w:rPr>
      </w:pPr>
      <w:r w:rsidRPr="005600CF">
        <w:rPr>
          <w:sz w:val="20"/>
        </w:rPr>
        <w:t>AGRAVO REGIMENTAL NO AGRAVO EM RECURSO ESPECIAL. TRÁFICO DE DROGAS. REVISÃO CRIMINAL NÃO CONHECIDA EM 2º GRAU. FALTA DE PREQUESTIONAMENTO. SÚMULAS 282 E 356/STF. UTILIZAÇÃO DA AÇÃO REVISIONAL COMO SUCEDÂNEO DE APELAÇÃO. IMPOSSIBILIDADE. SÚMULA 83/STJ. 1. Uma vez que não conhecida a revisão criminal, não há como ser apreciado o recurso especial, por falta de prequestionamento, a teor das Súmulas 282 e 356/STF. 2. Nos termos da jurisprudência desta Corte, é descabida a utilização de revisão criminal como sucedâneo de apelação criminal, incidindo o comando da Súmula 83/STJ. 3. Agravo regimental improvido.</w:t>
      </w:r>
      <w:r>
        <w:rPr>
          <w:sz w:val="20"/>
        </w:rPr>
        <w:t xml:space="preserve"> </w:t>
      </w:r>
      <w:r w:rsidRPr="005600CF">
        <w:rPr>
          <w:sz w:val="20"/>
        </w:rPr>
        <w:t xml:space="preserve">(STJ - </w:t>
      </w:r>
      <w:proofErr w:type="spellStart"/>
      <w:r w:rsidRPr="005600CF">
        <w:rPr>
          <w:sz w:val="20"/>
        </w:rPr>
        <w:t>AgRg</w:t>
      </w:r>
      <w:proofErr w:type="spellEnd"/>
      <w:r w:rsidRPr="005600CF">
        <w:rPr>
          <w:sz w:val="20"/>
        </w:rPr>
        <w:t xml:space="preserve"> no </w:t>
      </w:r>
      <w:proofErr w:type="spellStart"/>
      <w:r w:rsidRPr="005600CF">
        <w:rPr>
          <w:sz w:val="20"/>
        </w:rPr>
        <w:t>AREsp</w:t>
      </w:r>
      <w:proofErr w:type="spellEnd"/>
      <w:r w:rsidRPr="005600CF">
        <w:rPr>
          <w:sz w:val="20"/>
        </w:rPr>
        <w:t xml:space="preserve">: 1869653 MS 2021/0099141-8, Relator: Ministro OLINDO MENEZES (DESEMBARGADOR CONVOCADO DO TRF 1ª REGIÃO), Data de Julgamento: 09/11/2021, </w:t>
      </w:r>
      <w:proofErr w:type="spellStart"/>
      <w:r w:rsidRPr="005600CF">
        <w:rPr>
          <w:sz w:val="20"/>
        </w:rPr>
        <w:t>T6</w:t>
      </w:r>
      <w:proofErr w:type="spellEnd"/>
      <w:r w:rsidRPr="005600CF">
        <w:rPr>
          <w:sz w:val="20"/>
        </w:rPr>
        <w:t xml:space="preserve"> - SEXTA TURMA, Data de Publicação: </w:t>
      </w:r>
      <w:proofErr w:type="spellStart"/>
      <w:r w:rsidRPr="005600CF">
        <w:rPr>
          <w:sz w:val="20"/>
        </w:rPr>
        <w:t>DJe</w:t>
      </w:r>
      <w:proofErr w:type="spellEnd"/>
      <w:r w:rsidRPr="005600CF">
        <w:rPr>
          <w:sz w:val="20"/>
        </w:rPr>
        <w:t xml:space="preserve"> 16/11/2021)</w:t>
      </w:r>
      <w:r>
        <w:rPr>
          <w:sz w:val="20"/>
        </w:rPr>
        <w:t>.</w:t>
      </w:r>
    </w:p>
    <w:p w:rsidR="009D3AE2" w:rsidRDefault="009D3AE2" w:rsidP="009D3AE2">
      <w:pPr>
        <w:pStyle w:val="PargrafodaLista"/>
        <w:ind w:left="0"/>
        <w:contextualSpacing w:val="0"/>
        <w:rPr>
          <w:i/>
        </w:rPr>
      </w:pPr>
      <w:r>
        <w:t xml:space="preserve">Nessas condições, impõe-se conclusão negativa sobre a admissibilidade da </w:t>
      </w:r>
      <w:proofErr w:type="spellStart"/>
      <w:r>
        <w:rPr>
          <w:i/>
        </w:rPr>
        <w:t>actio</w:t>
      </w:r>
      <w:proofErr w:type="spellEnd"/>
      <w:r>
        <w:rPr>
          <w:i/>
        </w:rPr>
        <w:t>.</w:t>
      </w:r>
    </w:p>
    <w:p w:rsidR="009D3AE2" w:rsidRPr="009D3AE2" w:rsidRDefault="009D3AE2" w:rsidP="009D3AE2">
      <w:pPr>
        <w:pStyle w:val="PargrafodaLista"/>
        <w:ind w:left="0"/>
        <w:contextualSpacing w:val="0"/>
      </w:pPr>
    </w:p>
    <w:p w:rsidR="00381884" w:rsidRDefault="0075189D" w:rsidP="0075189D">
      <w:pPr>
        <w:pStyle w:val="PargrafodaLista"/>
        <w:ind w:left="0"/>
        <w:contextualSpacing w:val="0"/>
      </w:pPr>
      <w:proofErr w:type="spellStart"/>
      <w:r>
        <w:lastRenderedPageBreak/>
        <w:t>I</w:t>
      </w:r>
      <w:r w:rsidR="009D3AE2">
        <w:t>I</w:t>
      </w:r>
      <w:r>
        <w:t>.II</w:t>
      </w:r>
      <w:proofErr w:type="spellEnd"/>
      <w:r>
        <w:t xml:space="preserve"> – DA CONCLUSÃO</w:t>
      </w:r>
    </w:p>
    <w:p w:rsidR="00381884" w:rsidRDefault="0075189D" w:rsidP="00381884">
      <w:pPr>
        <w:pStyle w:val="PargrafodaLista"/>
        <w:ind w:left="0"/>
        <w:contextualSpacing w:val="0"/>
      </w:pPr>
      <w:r>
        <w:t>Pela conjugação das premissas deduzidas, a conclusão a ser adota consiste em inadmitir a revisão criminal.</w:t>
      </w:r>
    </w:p>
    <w:p w:rsidR="0075189D" w:rsidRDefault="0075189D" w:rsidP="00381884">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381884">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381884"/>
    <w:rsid w:val="0038619C"/>
    <w:rsid w:val="005600CF"/>
    <w:rsid w:val="00672942"/>
    <w:rsid w:val="0075189D"/>
    <w:rsid w:val="00877419"/>
    <w:rsid w:val="009D3AE2"/>
    <w:rsid w:val="00AA28DF"/>
    <w:rsid w:val="00AE47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276B"/>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42496">
      <w:bodyDiv w:val="1"/>
      <w:marLeft w:val="0"/>
      <w:marRight w:val="0"/>
      <w:marTop w:val="0"/>
      <w:marBottom w:val="0"/>
      <w:divBdr>
        <w:top w:val="none" w:sz="0" w:space="0" w:color="auto"/>
        <w:left w:val="none" w:sz="0" w:space="0" w:color="auto"/>
        <w:bottom w:val="none" w:sz="0" w:space="0" w:color="auto"/>
        <w:right w:val="none" w:sz="0" w:space="0" w:color="auto"/>
      </w:divBdr>
    </w:div>
    <w:div w:id="1012881017">
      <w:bodyDiv w:val="1"/>
      <w:marLeft w:val="0"/>
      <w:marRight w:val="0"/>
      <w:marTop w:val="0"/>
      <w:marBottom w:val="0"/>
      <w:divBdr>
        <w:top w:val="none" w:sz="0" w:space="0" w:color="auto"/>
        <w:left w:val="none" w:sz="0" w:space="0" w:color="auto"/>
        <w:bottom w:val="none" w:sz="0" w:space="0" w:color="auto"/>
        <w:right w:val="none" w:sz="0" w:space="0" w:color="auto"/>
      </w:divBdr>
    </w:div>
    <w:div w:id="199086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6392A9-122A-407C-AFF4-027D24D47F0A}"/>
</file>

<file path=customXml/itemProps2.xml><?xml version="1.0" encoding="utf-8"?>
<ds:datastoreItem xmlns:ds="http://schemas.openxmlformats.org/officeDocument/2006/customXml" ds:itemID="{83300D3C-9C1F-416B-BB50-F938AD021970}"/>
</file>

<file path=customXml/itemProps3.xml><?xml version="1.0" encoding="utf-8"?>
<ds:datastoreItem xmlns:ds="http://schemas.openxmlformats.org/officeDocument/2006/customXml" ds:itemID="{BD8F7338-EC48-44EF-BE60-A60CF9F06D3F}"/>
</file>

<file path=docProps/app.xml><?xml version="1.0" encoding="utf-8"?>
<Properties xmlns="http://schemas.openxmlformats.org/officeDocument/2006/extended-properties" xmlns:vt="http://schemas.openxmlformats.org/officeDocument/2006/docPropsVTypes">
  <Template>Normal</Template>
  <TotalTime>64</TotalTime>
  <Pages>4</Pages>
  <Words>987</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2024-03-22T18:58:00Z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346600</vt:r8>
  </property>
</Properties>
</file>