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5C3FAE" w14:textId="4E7905A5" w:rsidR="00A76160" w:rsidRPr="002424A1" w:rsidRDefault="00C52EE4" w:rsidP="005E09D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DECISÃO MONOCRÁTICA. </w:t>
      </w:r>
      <w:r w:rsidR="005E09DC" w:rsidRPr="002424A1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DIREITO CIVIL E</w:t>
      </w:r>
      <w:r w:rsidR="00345D43" w:rsidRPr="002424A1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</w:t>
      </w:r>
      <w:r w:rsidR="005E09DC" w:rsidRPr="002424A1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PROCESSUAL CIVIL.</w:t>
      </w:r>
      <w:r w:rsidR="000D3862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</w:t>
      </w:r>
      <w:r w:rsidR="005E09DC" w:rsidRPr="002424A1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EMBARGOS DE DECLARAÇÃO.</w:t>
      </w:r>
      <w:r w:rsidR="000D3862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AGRAVO DE INSTRUMENTO.</w:t>
      </w:r>
      <w:r w:rsidR="000D3862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TUTELA RECURSAL ANTECIPADA.</w:t>
      </w:r>
      <w:r w:rsidR="0030083C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</w:t>
      </w:r>
      <w:r w:rsidR="000D3862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EFEITO ATIVO. MERO INCONFORMISMO.</w:t>
      </w:r>
    </w:p>
    <w:p w14:paraId="7D7D0A36" w14:textId="77777777" w:rsidR="005E09DC" w:rsidRPr="002424A1" w:rsidRDefault="005E09DC" w:rsidP="005E09D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2424A1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I. CASO EM EXAME</w:t>
      </w:r>
    </w:p>
    <w:p w14:paraId="60D80B5A" w14:textId="412F0361" w:rsidR="0030083C" w:rsidRDefault="005E09DC" w:rsidP="005E09D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2424A1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Embargos de declaração interpostos contra</w:t>
      </w:r>
      <w:r w:rsidR="0043454B" w:rsidRPr="002424A1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</w:t>
      </w:r>
      <w:r w:rsidR="0030083C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decisão de indeferimento de efeito ativo a agravo de instrumento.</w:t>
      </w:r>
    </w:p>
    <w:p w14:paraId="5FA0ACB0" w14:textId="77777777" w:rsidR="005E09DC" w:rsidRPr="002424A1" w:rsidRDefault="005E09DC" w:rsidP="005E09D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2424A1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II. QUESTÃO EM DISCUSSÃO</w:t>
      </w:r>
    </w:p>
    <w:p w14:paraId="4754C7C4" w14:textId="66357CF3" w:rsidR="0030083C" w:rsidRDefault="005E09DC" w:rsidP="005E09D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2424A1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Hipótese de acometimento d</w:t>
      </w:r>
      <w:r w:rsidR="0030083C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o pronunciamento por omissão, consistente na ausência de análise de elementos de informação </w:t>
      </w:r>
      <w:r w:rsidR="00727048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demonstrativos da presença dos requisitos para a concessão da antecipação da tutela recursal.</w:t>
      </w:r>
    </w:p>
    <w:p w14:paraId="35813425" w14:textId="77777777" w:rsidR="002856EA" w:rsidRPr="002424A1" w:rsidRDefault="005E09DC" w:rsidP="002856EA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2424A1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III. RAZÕES DE DECIDIR</w:t>
      </w:r>
    </w:p>
    <w:p w14:paraId="6B02E50B" w14:textId="77777777" w:rsidR="002856EA" w:rsidRPr="002424A1" w:rsidRDefault="005E09DC" w:rsidP="005E09D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2424A1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Os embargos de declaração prestam-se a esclarecer obscuridade, eliminar contradição, suprir omissão ou corrigir erro material, sendo defesa sua utilização como sucedâneo recursal para manifestação de mero inconformismo.</w:t>
      </w:r>
    </w:p>
    <w:p w14:paraId="32D3CD04" w14:textId="419422AC" w:rsidR="005E09DC" w:rsidRPr="002424A1" w:rsidRDefault="005E09DC" w:rsidP="005E09D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2424A1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IV. SOLUÇÃO DO CASO</w:t>
      </w:r>
    </w:p>
    <w:p w14:paraId="026CEA93" w14:textId="77777777" w:rsidR="005E09DC" w:rsidRPr="002424A1" w:rsidRDefault="005E09DC" w:rsidP="005E09D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2424A1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Recurso conhecido e desprovido.</w:t>
      </w:r>
    </w:p>
    <w:p w14:paraId="04A4768B" w14:textId="63490395" w:rsidR="009F46A9" w:rsidRDefault="005E09DC" w:rsidP="005E09D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2424A1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V. </w:t>
      </w:r>
      <w:r w:rsidR="009F46A9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LEGISLAÇÃO E JURISPRUDÊNCIA UTILIZADAS</w:t>
      </w:r>
    </w:p>
    <w:p w14:paraId="4688F157" w14:textId="3067A796" w:rsidR="009F46A9" w:rsidRDefault="009F46A9" w:rsidP="005E09D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V.I. Legislação</w:t>
      </w:r>
    </w:p>
    <w:p w14:paraId="5692ABDC" w14:textId="76EAB452" w:rsidR="009F46A9" w:rsidRDefault="009F46A9" w:rsidP="005E09D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CDC: art. 1.022; art. 1.024, §2º.</w:t>
      </w:r>
    </w:p>
    <w:p w14:paraId="2621727D" w14:textId="06730024" w:rsidR="009F46A9" w:rsidRDefault="009F46A9" w:rsidP="005E09D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RITJPR: art. 182, XXXIX.</w:t>
      </w:r>
    </w:p>
    <w:p w14:paraId="026EEF48" w14:textId="58B583AA" w:rsidR="005E09DC" w:rsidRPr="002424A1" w:rsidRDefault="005E09DC" w:rsidP="005E09D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2424A1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V.I</w:t>
      </w:r>
      <w:r w:rsidR="009F46A9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</w:t>
      </w:r>
      <w:r w:rsidRPr="002424A1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. Jurisprudência</w:t>
      </w:r>
    </w:p>
    <w:p w14:paraId="49E8DF57" w14:textId="77777777" w:rsidR="00895EF2" w:rsidRPr="002424A1" w:rsidRDefault="005E09DC" w:rsidP="005E09DC">
      <w:pPr>
        <w:spacing w:before="240" w:after="24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424A1">
        <w:rPr>
          <w:rFonts w:ascii="Times New Roman" w:hAnsi="Times New Roman" w:cs="Times New Roman"/>
          <w:b/>
          <w:sz w:val="24"/>
          <w:szCs w:val="24"/>
        </w:rPr>
        <w:t>STJ. 1ª Seção. Relator: Ministro Mauro Campbell Marques. EDcl. no AgRg. nos EAREsp. n. 620.940/RS. Data de Julgamento: 14-9-2016. Data de Publicação: 21-9-2016</w:t>
      </w:r>
      <w:r w:rsidR="00895EF2" w:rsidRPr="002424A1">
        <w:rPr>
          <w:rFonts w:ascii="Times New Roman" w:hAnsi="Times New Roman" w:cs="Times New Roman"/>
          <w:b/>
          <w:sz w:val="24"/>
          <w:szCs w:val="24"/>
        </w:rPr>
        <w:t>.</w:t>
      </w:r>
    </w:p>
    <w:p w14:paraId="1624D6D3" w14:textId="77777777" w:rsidR="003B44F2" w:rsidRPr="00B400E7" w:rsidRDefault="003B44F2" w:rsidP="004E1BC4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14:paraId="241249C2" w14:textId="77777777" w:rsidR="00FB27C5" w:rsidRDefault="00D74F23" w:rsidP="00FB27C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B400E7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 – RELATÓRIO</w:t>
      </w:r>
    </w:p>
    <w:p w14:paraId="7F1770A8" w14:textId="06AE0F41" w:rsidR="005D1593" w:rsidRDefault="003F76F3" w:rsidP="00D30273">
      <w:pPr>
        <w:tabs>
          <w:tab w:val="left" w:pos="6955"/>
        </w:tabs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 w:rsidRPr="003F76F3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Cuida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-se de embargos de declaração </w:t>
      </w:r>
      <w:r w:rsidR="003E4448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interpostos</w:t>
      </w:r>
      <w:r w:rsidR="00737EAA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</w:t>
      </w:r>
      <w:r w:rsidR="00C15E8B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por</w:t>
      </w:r>
      <w:r w:rsidR="005D1593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Maria Carolina de Oliveira e Oliva em face de Agropecuária S. M. Ltda., Boulevard Locação, Comércio de Veículos Ltda., Carlos Alberto Campos de Oliveira e Iguaçu do Brasil Ltda., tendo como objeto decisão unipessoal negativa de atribuição de efeito recursal ativo a agravo de instrumento (evento </w:t>
      </w:r>
      <w:r w:rsidR="0064376E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10.1 – AI).</w:t>
      </w:r>
    </w:p>
    <w:p w14:paraId="74371679" w14:textId="2CC6E1F1" w:rsidR="00045C2D" w:rsidRDefault="00F61CFC" w:rsidP="00B72930">
      <w:pPr>
        <w:tabs>
          <w:tab w:val="left" w:pos="6955"/>
        </w:tabs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Sustenta </w:t>
      </w:r>
      <w:r w:rsidR="003D6735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a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embargante, </w:t>
      </w:r>
      <w:r w:rsidR="00890088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em síntese, o</w:t>
      </w:r>
      <w:r w:rsidR="003D6735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acometimento do </w:t>
      </w:r>
      <w:r w:rsidR="00944C05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pronunciamento</w:t>
      </w:r>
      <w:r w:rsidR="003D6735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por omissão</w:t>
      </w:r>
      <w:r w:rsidR="008A361B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, consistente na ausência da análise de elementos de prova indicativos </w:t>
      </w:r>
      <w:r w:rsidR="00352C95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da satisfação dos requisitos para a concessão da tutela recursal em caráter antecipado (evento 1.1).</w:t>
      </w:r>
    </w:p>
    <w:p w14:paraId="4B52705C" w14:textId="7BA2F828" w:rsidR="0064376E" w:rsidRPr="00EF28C8" w:rsidRDefault="00E14AFB" w:rsidP="00B72930">
      <w:pPr>
        <w:tabs>
          <w:tab w:val="left" w:pos="6955"/>
        </w:tabs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Instad</w:t>
      </w:r>
      <w:r w:rsidR="0064376E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os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, </w:t>
      </w:r>
      <w:r w:rsidR="0064376E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os embargados deixaram t</w:t>
      </w:r>
      <w:r w:rsidR="00EF28C8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ranscorrer, </w:t>
      </w:r>
      <w:r w:rsidR="00EF28C8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pt-BR"/>
        </w:rPr>
        <w:t>in albis</w:t>
      </w:r>
      <w:r w:rsidR="00EF28C8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, o prazo para contrarrazões</w:t>
      </w:r>
      <w:r w:rsidR="00EF73E9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.</w:t>
      </w:r>
    </w:p>
    <w:p w14:paraId="6AEA9393" w14:textId="56E19C6B" w:rsidR="00E91BB6" w:rsidRPr="00E14AFB" w:rsidRDefault="00E91BB6" w:rsidP="00B72930">
      <w:pPr>
        <w:tabs>
          <w:tab w:val="left" w:pos="6955"/>
        </w:tabs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É o necessário relato.</w:t>
      </w:r>
    </w:p>
    <w:p w14:paraId="40367DF6" w14:textId="77777777" w:rsidR="003F76F3" w:rsidRDefault="003F76F3" w:rsidP="00FB27C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14:paraId="552CAA17" w14:textId="77777777" w:rsidR="003F76F3" w:rsidRDefault="00FB27C5" w:rsidP="003F76F3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260160">
        <w:rPr>
          <w:rFonts w:ascii="Times New Roman" w:hAnsi="Times New Roman" w:cs="Times New Roman"/>
          <w:b/>
          <w:sz w:val="24"/>
          <w:szCs w:val="24"/>
        </w:rPr>
        <w:t>II – FUNDAMENTAÇÃO</w:t>
      </w:r>
    </w:p>
    <w:p w14:paraId="3C68F9C2" w14:textId="77777777" w:rsidR="00E71385" w:rsidRPr="00C727D6" w:rsidRDefault="00E71385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727D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II.I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–</w:t>
      </w:r>
      <w:r w:rsidRPr="00C727D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DO JUÍZO DE </w:t>
      </w:r>
      <w:r w:rsidRPr="00C727D6">
        <w:rPr>
          <w:rFonts w:ascii="Times New Roman" w:eastAsia="Times New Roman" w:hAnsi="Times New Roman" w:cs="Times New Roman"/>
          <w:sz w:val="24"/>
          <w:szCs w:val="24"/>
          <w:lang w:eastAsia="pt-BR"/>
        </w:rPr>
        <w:t>ADMISSIBILIDADE</w:t>
      </w:r>
    </w:p>
    <w:p w14:paraId="22426A3C" w14:textId="78600377" w:rsidR="00E71385" w:rsidRDefault="00E71385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Satisfeitos</w:t>
      </w:r>
      <w:r w:rsidR="00D4238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 pressupostos de admissibilidade recursal, conhecem-se dos embargos de declaração </w:t>
      </w:r>
      <w:r w:rsidR="003835C9">
        <w:rPr>
          <w:rFonts w:ascii="Times New Roman" w:eastAsia="Times New Roman" w:hAnsi="Times New Roman" w:cs="Times New Roman"/>
          <w:sz w:val="24"/>
          <w:szCs w:val="24"/>
          <w:lang w:eastAsia="pt-BR"/>
        </w:rPr>
        <w:t>inter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postos.</w:t>
      </w:r>
    </w:p>
    <w:p w14:paraId="68F242B5" w14:textId="77777777" w:rsidR="00E71385" w:rsidRDefault="00E71385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0F5FB76" w14:textId="36074228" w:rsidR="00E71385" w:rsidRDefault="00E71385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II.II – </w:t>
      </w:r>
      <w:r w:rsidR="004E5661">
        <w:rPr>
          <w:rFonts w:ascii="Times New Roman" w:eastAsia="Times New Roman" w:hAnsi="Times New Roman" w:cs="Times New Roman"/>
          <w:sz w:val="24"/>
          <w:szCs w:val="24"/>
          <w:lang w:eastAsia="pt-BR"/>
        </w:rPr>
        <w:t>D</w:t>
      </w:r>
      <w:r w:rsidR="00E747A8">
        <w:rPr>
          <w:rFonts w:ascii="Times New Roman" w:eastAsia="Times New Roman" w:hAnsi="Times New Roman" w:cs="Times New Roman"/>
          <w:sz w:val="24"/>
          <w:szCs w:val="24"/>
          <w:lang w:eastAsia="pt-BR"/>
        </w:rPr>
        <w:t>O MÉRITO</w:t>
      </w:r>
    </w:p>
    <w:p w14:paraId="3EB4BEA7" w14:textId="60C0B3AC" w:rsidR="00EB2469" w:rsidRDefault="00646399" w:rsidP="00646399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Do exame do pronunciamento judicial hostilizado, em cotejo com as razões dos embargos, constata-se que a pretensão declaratória </w:t>
      </w:r>
      <w:r w:rsidR="000A46D4">
        <w:rPr>
          <w:rFonts w:ascii="Times New Roman" w:eastAsia="Times New Roman" w:hAnsi="Times New Roman" w:cs="Times New Roman"/>
          <w:sz w:val="24"/>
          <w:szCs w:val="24"/>
          <w:lang w:eastAsia="pt-BR"/>
        </w:rPr>
        <w:t>não possui compatibilidade com o perfil normativo do artigo 1.022 do Código de Processo Civil.</w:t>
      </w:r>
    </w:p>
    <w:p w14:paraId="5B31662E" w14:textId="77777777" w:rsidR="00646399" w:rsidRDefault="00646399" w:rsidP="00646399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 propósito do tema:</w:t>
      </w:r>
    </w:p>
    <w:p w14:paraId="1129E428" w14:textId="77777777" w:rsidR="00646399" w:rsidRDefault="00646399" w:rsidP="00646399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F228629" w14:textId="77777777" w:rsidR="00646399" w:rsidRDefault="00646399" w:rsidP="00646399">
      <w:pPr>
        <w:spacing w:after="240" w:line="360" w:lineRule="auto"/>
        <w:ind w:left="2268"/>
        <w:jc w:val="both"/>
        <w:rPr>
          <w:rFonts w:ascii="Times New Roman" w:hAnsi="Times New Roman" w:cs="Times New Roman"/>
          <w:sz w:val="20"/>
        </w:rPr>
      </w:pPr>
      <w:r w:rsidRPr="005E3E78">
        <w:rPr>
          <w:rFonts w:ascii="Times New Roman" w:hAnsi="Times New Roman" w:cs="Times New Roman"/>
          <w:sz w:val="20"/>
        </w:rPr>
        <w:t xml:space="preserve">PROCESSUAL CIVIL. ENUNCIADO ADMINISTRATIVO Nº 03/STJ. EMBARGOS DE DECLARAÇÃO. INEXISTÊNCIA DE VÍCIOS NO JULGADO. REDISCUSSÃO DE MATÉRIA JÁ DECIDIDA. IMPOSSIBILIDADE. </w:t>
      </w:r>
      <w:r w:rsidRPr="001F4679">
        <w:rPr>
          <w:rFonts w:ascii="Times New Roman" w:hAnsi="Times New Roman" w:cs="Times New Roman"/>
          <w:b/>
          <w:sz w:val="20"/>
        </w:rPr>
        <w:t xml:space="preserve">1. Os embargos de declaração têm a finalidade simples e única de completar, aclarar ou corrigir uma decisão omissa, obscura ou contraditória. Não são destinados à adequação do decisum ao entendimento da parte embargante, nem ao acolhimento de pretensões que refletem mero inconformismo, e, menos ainda, à rediscussão de questão já resolvida. Precedentes. </w:t>
      </w:r>
      <w:r w:rsidRPr="005E3E78">
        <w:rPr>
          <w:rFonts w:ascii="Times New Roman" w:hAnsi="Times New Roman" w:cs="Times New Roman"/>
          <w:sz w:val="20"/>
        </w:rPr>
        <w:t>2. A análise das razões recursais revela a pretensão da parte em alterar o resultado do decisum, o que é inviável nesta seara recursal. 3. Embargos de declaração r</w:t>
      </w:r>
      <w:r>
        <w:rPr>
          <w:rFonts w:ascii="Times New Roman" w:hAnsi="Times New Roman" w:cs="Times New Roman"/>
          <w:sz w:val="20"/>
        </w:rPr>
        <w:t>ejeitados. (STJ. 1ª Seção. Relator: Ministro Mauro Campbell Marques.</w:t>
      </w:r>
      <w:r w:rsidRPr="005E3E78">
        <w:rPr>
          <w:rFonts w:ascii="Times New Roman" w:hAnsi="Times New Roman" w:cs="Times New Roman"/>
          <w:sz w:val="20"/>
        </w:rPr>
        <w:t xml:space="preserve"> EDcl. no AgRg. nos EAREsp. n. 620.940/RS</w:t>
      </w:r>
      <w:r>
        <w:rPr>
          <w:rFonts w:ascii="Times New Roman" w:hAnsi="Times New Roman" w:cs="Times New Roman"/>
          <w:sz w:val="20"/>
        </w:rPr>
        <w:t>. Data de Julgamento: 14-09-2016. Data de Publicação: 21-09-2016).</w:t>
      </w:r>
    </w:p>
    <w:p w14:paraId="3A818C24" w14:textId="77777777" w:rsidR="00646399" w:rsidRDefault="00646399" w:rsidP="00646399">
      <w:pPr>
        <w:spacing w:after="240" w:line="360" w:lineRule="auto"/>
        <w:jc w:val="both"/>
        <w:rPr>
          <w:rFonts w:ascii="Times New Roman" w:hAnsi="Times New Roman" w:cs="Times New Roman"/>
          <w:sz w:val="20"/>
        </w:rPr>
      </w:pPr>
    </w:p>
    <w:p w14:paraId="4CE4DE6A" w14:textId="2F64B8F3" w:rsidR="00646399" w:rsidRDefault="00406AFA" w:rsidP="00B30D60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Todas </w:t>
      </w:r>
      <w:r w:rsidR="0064639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as teses jurídicas veiculadas foram objeto de percuciente análise e a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respectiva </w:t>
      </w:r>
      <w:r w:rsidR="00646399">
        <w:rPr>
          <w:rFonts w:ascii="Times New Roman" w:eastAsia="Times New Roman" w:hAnsi="Times New Roman" w:cs="Times New Roman"/>
          <w:sz w:val="24"/>
          <w:szCs w:val="24"/>
          <w:lang w:eastAsia="pt-BR"/>
        </w:rPr>
        <w:t>decisão, exposta mediante fundamentação plena, sem nenhuma contradição, omissão, obscuridade ou erro material.</w:t>
      </w:r>
    </w:p>
    <w:p w14:paraId="5BCAFF16" w14:textId="0F29A5C4" w:rsidR="00F47305" w:rsidRDefault="00F47305" w:rsidP="00B30D60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 efeito, o julgador não está obrigado a exaurir todos os argumentos </w:t>
      </w:r>
      <w:r w:rsidR="001813FE">
        <w:rPr>
          <w:rFonts w:ascii="Times New Roman" w:eastAsia="Times New Roman" w:hAnsi="Times New Roman" w:cs="Times New Roman"/>
          <w:sz w:val="24"/>
          <w:szCs w:val="24"/>
          <w:lang w:eastAsia="pt-BR"/>
        </w:rPr>
        <w:t>articulados pelas partes, quando encontrar fundamento suficiente para sua decisão.</w:t>
      </w:r>
    </w:p>
    <w:p w14:paraId="76DE3EB1" w14:textId="6F696AFD" w:rsidR="007E61B2" w:rsidRDefault="004C0DB6" w:rsidP="004C0DB6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Ausente, pois, propósito </w:t>
      </w:r>
      <w:r w:rsidR="00E71385">
        <w:rPr>
          <w:rFonts w:ascii="Times New Roman" w:eastAsia="Times New Roman" w:hAnsi="Times New Roman" w:cs="Times New Roman"/>
          <w:sz w:val="24"/>
          <w:szCs w:val="24"/>
          <w:lang w:eastAsia="pt-BR"/>
        </w:rPr>
        <w:t>de colmatação</w:t>
      </w:r>
      <w:r w:rsidR="00FA2DD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sendo evidente a pretensão de rediscussão da matéria</w:t>
      </w:r>
      <w:r w:rsidR="004E5661">
        <w:rPr>
          <w:rFonts w:ascii="Times New Roman" w:eastAsia="Times New Roman" w:hAnsi="Times New Roman" w:cs="Times New Roman"/>
          <w:sz w:val="24"/>
          <w:szCs w:val="24"/>
          <w:lang w:eastAsia="pt-BR"/>
        </w:rPr>
        <w:t>,</w:t>
      </w:r>
      <w:r w:rsidR="00E7138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3A385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não se </w:t>
      </w:r>
      <w:r w:rsidR="007D706F">
        <w:rPr>
          <w:rFonts w:ascii="Times New Roman" w:eastAsia="Times New Roman" w:hAnsi="Times New Roman" w:cs="Times New Roman"/>
          <w:sz w:val="24"/>
          <w:szCs w:val="24"/>
          <w:lang w:eastAsia="pt-BR"/>
        </w:rPr>
        <w:t>excogita o provimento d</w:t>
      </w:r>
      <w:r w:rsidR="007E61B2">
        <w:rPr>
          <w:rFonts w:ascii="Times New Roman" w:eastAsia="Times New Roman" w:hAnsi="Times New Roman" w:cs="Times New Roman"/>
          <w:sz w:val="24"/>
          <w:szCs w:val="24"/>
          <w:lang w:eastAsia="pt-BR"/>
        </w:rPr>
        <w:t>os embargos.</w:t>
      </w:r>
    </w:p>
    <w:p w14:paraId="7E2AE12A" w14:textId="77777777" w:rsidR="002E4C4B" w:rsidRDefault="002E4C4B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EB610C7" w14:textId="60BA7742" w:rsidR="00ED0232" w:rsidRDefault="00FB27C5" w:rsidP="00273B20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E4C4B">
        <w:rPr>
          <w:rFonts w:ascii="Times New Roman" w:hAnsi="Times New Roman" w:cs="Times New Roman"/>
          <w:b/>
          <w:sz w:val="24"/>
          <w:szCs w:val="24"/>
        </w:rPr>
        <w:t xml:space="preserve">III </w:t>
      </w:r>
      <w:r w:rsidR="003F76F3" w:rsidRPr="002E4C4B">
        <w:rPr>
          <w:rFonts w:ascii="Times New Roman" w:hAnsi="Times New Roman" w:cs="Times New Roman"/>
          <w:b/>
          <w:sz w:val="24"/>
          <w:szCs w:val="24"/>
        </w:rPr>
        <w:t>–</w:t>
      </w:r>
      <w:r w:rsidRPr="002E4C4B">
        <w:rPr>
          <w:rFonts w:ascii="Times New Roman" w:hAnsi="Times New Roman" w:cs="Times New Roman"/>
          <w:b/>
          <w:sz w:val="24"/>
          <w:szCs w:val="24"/>
        </w:rPr>
        <w:t xml:space="preserve"> DECISÃO</w:t>
      </w:r>
    </w:p>
    <w:p w14:paraId="12B3E145" w14:textId="77777777" w:rsidR="00DD18E6" w:rsidRDefault="00273B20" w:rsidP="00273B20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Ante o exposto, com fundamento no artigo 1.02</w:t>
      </w:r>
      <w:r w:rsidR="008735B8">
        <w:rPr>
          <w:rFonts w:ascii="Times New Roman" w:hAnsi="Times New Roman" w:cs="Times New Roman"/>
          <w:bCs/>
          <w:sz w:val="24"/>
          <w:szCs w:val="24"/>
        </w:rPr>
        <w:t xml:space="preserve">4, §2º, do Código de Processo Civil e no artigo </w:t>
      </w:r>
      <w:r w:rsidR="0029529E">
        <w:rPr>
          <w:rFonts w:ascii="Times New Roman" w:hAnsi="Times New Roman" w:cs="Times New Roman"/>
          <w:bCs/>
          <w:sz w:val="24"/>
          <w:szCs w:val="24"/>
        </w:rPr>
        <w:t xml:space="preserve">182, XXXIX, do Regimento Interno do Tribunal de Justiça do Estado do </w:t>
      </w:r>
      <w:r w:rsidR="00C804C9">
        <w:rPr>
          <w:rFonts w:ascii="Times New Roman" w:hAnsi="Times New Roman" w:cs="Times New Roman"/>
          <w:bCs/>
          <w:sz w:val="24"/>
          <w:szCs w:val="24"/>
        </w:rPr>
        <w:t>Paraná,</w:t>
      </w:r>
      <w:r w:rsidR="00DD18E6">
        <w:rPr>
          <w:rFonts w:ascii="Times New Roman" w:hAnsi="Times New Roman" w:cs="Times New Roman"/>
          <w:bCs/>
          <w:sz w:val="24"/>
          <w:szCs w:val="24"/>
        </w:rPr>
        <w:t xml:space="preserve"> julga-se conhecido e desprovido o presente recurso.</w:t>
      </w:r>
    </w:p>
    <w:p w14:paraId="3C87C481" w14:textId="57A186CF" w:rsidR="00273B20" w:rsidRDefault="00C52EE4" w:rsidP="00273B20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Intimem-se.</w:t>
      </w:r>
    </w:p>
    <w:p w14:paraId="045A1000" w14:textId="751126CA" w:rsidR="00C52EE4" w:rsidRPr="00273B20" w:rsidRDefault="00C52EE4" w:rsidP="00273B20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Oportunamente, arquivem-se.</w:t>
      </w:r>
    </w:p>
    <w:sectPr w:rsidR="00C52EE4" w:rsidRPr="00273B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52DC65" w14:textId="77777777" w:rsidR="005F3835" w:rsidRDefault="005F3835" w:rsidP="00647C71">
      <w:pPr>
        <w:spacing w:after="0" w:line="240" w:lineRule="auto"/>
      </w:pPr>
      <w:r>
        <w:separator/>
      </w:r>
    </w:p>
  </w:endnote>
  <w:endnote w:type="continuationSeparator" w:id="0">
    <w:p w14:paraId="7D8CFFC9" w14:textId="77777777" w:rsidR="005F3835" w:rsidRDefault="005F3835" w:rsidP="00647C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6D01DE" w14:textId="77777777" w:rsidR="005F3835" w:rsidRDefault="005F3835" w:rsidP="00647C71">
      <w:pPr>
        <w:spacing w:after="0" w:line="240" w:lineRule="auto"/>
      </w:pPr>
      <w:r>
        <w:separator/>
      </w:r>
    </w:p>
  </w:footnote>
  <w:footnote w:type="continuationSeparator" w:id="0">
    <w:p w14:paraId="49D870E7" w14:textId="77777777" w:rsidR="005F3835" w:rsidRDefault="005F3835" w:rsidP="00647C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3D39FC"/>
    <w:multiLevelType w:val="hybridMultilevel"/>
    <w:tmpl w:val="C9101CC0"/>
    <w:lvl w:ilvl="0" w:tplc="AED834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7674289"/>
    <w:multiLevelType w:val="hybridMultilevel"/>
    <w:tmpl w:val="C2CA7A80"/>
    <w:lvl w:ilvl="0" w:tplc="D13EC7C8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8CE22A9"/>
    <w:multiLevelType w:val="hybridMultilevel"/>
    <w:tmpl w:val="92122988"/>
    <w:lvl w:ilvl="0" w:tplc="0560915A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F4F15E2"/>
    <w:multiLevelType w:val="hybridMultilevel"/>
    <w:tmpl w:val="F6F80888"/>
    <w:lvl w:ilvl="0" w:tplc="F3A24B8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2CC7D4C"/>
    <w:multiLevelType w:val="hybridMultilevel"/>
    <w:tmpl w:val="A98A9ECC"/>
    <w:lvl w:ilvl="0" w:tplc="4F2264FC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40E335C"/>
    <w:multiLevelType w:val="hybridMultilevel"/>
    <w:tmpl w:val="43AEDE0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CD4FD4"/>
    <w:multiLevelType w:val="hybridMultilevel"/>
    <w:tmpl w:val="3800D9C4"/>
    <w:lvl w:ilvl="0" w:tplc="CDA6F1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6B166DDA"/>
    <w:multiLevelType w:val="hybridMultilevel"/>
    <w:tmpl w:val="58788A62"/>
    <w:lvl w:ilvl="0" w:tplc="1684321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757A0CA1"/>
    <w:multiLevelType w:val="hybridMultilevel"/>
    <w:tmpl w:val="B49A0420"/>
    <w:lvl w:ilvl="0" w:tplc="9FBEC874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295214825">
    <w:abstractNumId w:val="1"/>
  </w:num>
  <w:num w:numId="2" w16cid:durableId="1809395550">
    <w:abstractNumId w:val="6"/>
  </w:num>
  <w:num w:numId="3" w16cid:durableId="1978492850">
    <w:abstractNumId w:val="5"/>
  </w:num>
  <w:num w:numId="4" w16cid:durableId="1890416001">
    <w:abstractNumId w:val="4"/>
  </w:num>
  <w:num w:numId="5" w16cid:durableId="1044672355">
    <w:abstractNumId w:val="3"/>
  </w:num>
  <w:num w:numId="6" w16cid:durableId="808397163">
    <w:abstractNumId w:val="0"/>
  </w:num>
  <w:num w:numId="7" w16cid:durableId="1224829788">
    <w:abstractNumId w:val="7"/>
  </w:num>
  <w:num w:numId="8" w16cid:durableId="1296644228">
    <w:abstractNumId w:val="8"/>
  </w:num>
  <w:num w:numId="9" w16cid:durableId="901231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2926"/>
    <w:rsid w:val="00001611"/>
    <w:rsid w:val="00007C57"/>
    <w:rsid w:val="00010D7D"/>
    <w:rsid w:val="000160BD"/>
    <w:rsid w:val="000167D1"/>
    <w:rsid w:val="00020043"/>
    <w:rsid w:val="000200F3"/>
    <w:rsid w:val="00022B72"/>
    <w:rsid w:val="00026881"/>
    <w:rsid w:val="000306E0"/>
    <w:rsid w:val="00031211"/>
    <w:rsid w:val="00032A45"/>
    <w:rsid w:val="000374DD"/>
    <w:rsid w:val="0004000E"/>
    <w:rsid w:val="00045A03"/>
    <w:rsid w:val="00045C2D"/>
    <w:rsid w:val="00046137"/>
    <w:rsid w:val="00051782"/>
    <w:rsid w:val="000536CB"/>
    <w:rsid w:val="00054451"/>
    <w:rsid w:val="000574CD"/>
    <w:rsid w:val="000578C0"/>
    <w:rsid w:val="0006301E"/>
    <w:rsid w:val="0006738E"/>
    <w:rsid w:val="00070921"/>
    <w:rsid w:val="00074A6B"/>
    <w:rsid w:val="00074E5C"/>
    <w:rsid w:val="000753E6"/>
    <w:rsid w:val="00075CD3"/>
    <w:rsid w:val="000771EB"/>
    <w:rsid w:val="00082633"/>
    <w:rsid w:val="0009029D"/>
    <w:rsid w:val="000902B8"/>
    <w:rsid w:val="000A1580"/>
    <w:rsid w:val="000A1845"/>
    <w:rsid w:val="000A2939"/>
    <w:rsid w:val="000A46D4"/>
    <w:rsid w:val="000A50E5"/>
    <w:rsid w:val="000B0707"/>
    <w:rsid w:val="000B081D"/>
    <w:rsid w:val="000B0F0C"/>
    <w:rsid w:val="000B1A3F"/>
    <w:rsid w:val="000B5F0E"/>
    <w:rsid w:val="000C15F3"/>
    <w:rsid w:val="000C4101"/>
    <w:rsid w:val="000C6FB3"/>
    <w:rsid w:val="000D324F"/>
    <w:rsid w:val="000D3862"/>
    <w:rsid w:val="000D49BF"/>
    <w:rsid w:val="000D5CD1"/>
    <w:rsid w:val="000D62A2"/>
    <w:rsid w:val="000E2F5C"/>
    <w:rsid w:val="000E3D0A"/>
    <w:rsid w:val="000E6E40"/>
    <w:rsid w:val="000F1C40"/>
    <w:rsid w:val="000F2C6A"/>
    <w:rsid w:val="00101E92"/>
    <w:rsid w:val="0012195B"/>
    <w:rsid w:val="0012372F"/>
    <w:rsid w:val="00126791"/>
    <w:rsid w:val="00126C21"/>
    <w:rsid w:val="001302DC"/>
    <w:rsid w:val="001441FD"/>
    <w:rsid w:val="00144B56"/>
    <w:rsid w:val="001505AA"/>
    <w:rsid w:val="00151BE6"/>
    <w:rsid w:val="001539AF"/>
    <w:rsid w:val="00153CFF"/>
    <w:rsid w:val="00156233"/>
    <w:rsid w:val="00156C0C"/>
    <w:rsid w:val="0016094B"/>
    <w:rsid w:val="00160FA5"/>
    <w:rsid w:val="00166E6B"/>
    <w:rsid w:val="0018045A"/>
    <w:rsid w:val="001813FE"/>
    <w:rsid w:val="00181DD2"/>
    <w:rsid w:val="00185B6E"/>
    <w:rsid w:val="00186B58"/>
    <w:rsid w:val="00187157"/>
    <w:rsid w:val="00190005"/>
    <w:rsid w:val="001911F4"/>
    <w:rsid w:val="00191D4B"/>
    <w:rsid w:val="001920B4"/>
    <w:rsid w:val="001A011D"/>
    <w:rsid w:val="001A29B1"/>
    <w:rsid w:val="001A468D"/>
    <w:rsid w:val="001A4CA7"/>
    <w:rsid w:val="001A632C"/>
    <w:rsid w:val="001C317D"/>
    <w:rsid w:val="001C39D3"/>
    <w:rsid w:val="001D0BF0"/>
    <w:rsid w:val="001D13E2"/>
    <w:rsid w:val="001D5521"/>
    <w:rsid w:val="001E01CC"/>
    <w:rsid w:val="001E2D26"/>
    <w:rsid w:val="001E5BD5"/>
    <w:rsid w:val="001E61D7"/>
    <w:rsid w:val="001E626B"/>
    <w:rsid w:val="001F0BD9"/>
    <w:rsid w:val="001F26A9"/>
    <w:rsid w:val="001F4679"/>
    <w:rsid w:val="001F5639"/>
    <w:rsid w:val="001F62E9"/>
    <w:rsid w:val="00201354"/>
    <w:rsid w:val="0021113B"/>
    <w:rsid w:val="0021140D"/>
    <w:rsid w:val="00211FD6"/>
    <w:rsid w:val="0021477B"/>
    <w:rsid w:val="00214D4B"/>
    <w:rsid w:val="00215E32"/>
    <w:rsid w:val="00222CD8"/>
    <w:rsid w:val="0022498C"/>
    <w:rsid w:val="00226F44"/>
    <w:rsid w:val="002275AF"/>
    <w:rsid w:val="0023019E"/>
    <w:rsid w:val="002372A2"/>
    <w:rsid w:val="00240F16"/>
    <w:rsid w:val="002424A1"/>
    <w:rsid w:val="002438A8"/>
    <w:rsid w:val="00250B16"/>
    <w:rsid w:val="00250CAB"/>
    <w:rsid w:val="00251BE7"/>
    <w:rsid w:val="00260675"/>
    <w:rsid w:val="002665C0"/>
    <w:rsid w:val="002703E3"/>
    <w:rsid w:val="00271947"/>
    <w:rsid w:val="0027299B"/>
    <w:rsid w:val="00273B20"/>
    <w:rsid w:val="00273C54"/>
    <w:rsid w:val="002752D1"/>
    <w:rsid w:val="002856EA"/>
    <w:rsid w:val="00293E14"/>
    <w:rsid w:val="00294EBC"/>
    <w:rsid w:val="0029529E"/>
    <w:rsid w:val="002A270B"/>
    <w:rsid w:val="002A4117"/>
    <w:rsid w:val="002A7461"/>
    <w:rsid w:val="002A798A"/>
    <w:rsid w:val="002B370A"/>
    <w:rsid w:val="002B48B3"/>
    <w:rsid w:val="002C0F37"/>
    <w:rsid w:val="002C367C"/>
    <w:rsid w:val="002C62E9"/>
    <w:rsid w:val="002D03B9"/>
    <w:rsid w:val="002D2306"/>
    <w:rsid w:val="002D2AC8"/>
    <w:rsid w:val="002D4EB8"/>
    <w:rsid w:val="002D4FAD"/>
    <w:rsid w:val="002D651A"/>
    <w:rsid w:val="002E41AA"/>
    <w:rsid w:val="002E4C4B"/>
    <w:rsid w:val="002E64B7"/>
    <w:rsid w:val="002E7B89"/>
    <w:rsid w:val="002F0485"/>
    <w:rsid w:val="002F2DAD"/>
    <w:rsid w:val="002F35CF"/>
    <w:rsid w:val="002F37D9"/>
    <w:rsid w:val="002F52AF"/>
    <w:rsid w:val="002F78A8"/>
    <w:rsid w:val="0030083C"/>
    <w:rsid w:val="003010C8"/>
    <w:rsid w:val="00304E90"/>
    <w:rsid w:val="00305348"/>
    <w:rsid w:val="00305698"/>
    <w:rsid w:val="0032286D"/>
    <w:rsid w:val="00323689"/>
    <w:rsid w:val="00326B5A"/>
    <w:rsid w:val="00327618"/>
    <w:rsid w:val="00331431"/>
    <w:rsid w:val="00332DED"/>
    <w:rsid w:val="00332E93"/>
    <w:rsid w:val="00334726"/>
    <w:rsid w:val="00337B87"/>
    <w:rsid w:val="003415A6"/>
    <w:rsid w:val="00341797"/>
    <w:rsid w:val="00344252"/>
    <w:rsid w:val="0034529D"/>
    <w:rsid w:val="00345D43"/>
    <w:rsid w:val="00351BD7"/>
    <w:rsid w:val="00351EBD"/>
    <w:rsid w:val="00352C95"/>
    <w:rsid w:val="00352D21"/>
    <w:rsid w:val="00352F11"/>
    <w:rsid w:val="00354D9B"/>
    <w:rsid w:val="0036114E"/>
    <w:rsid w:val="00361C7B"/>
    <w:rsid w:val="00364B3D"/>
    <w:rsid w:val="00365126"/>
    <w:rsid w:val="00365AAA"/>
    <w:rsid w:val="0036786F"/>
    <w:rsid w:val="00375DC5"/>
    <w:rsid w:val="00376120"/>
    <w:rsid w:val="00377569"/>
    <w:rsid w:val="00380F70"/>
    <w:rsid w:val="00382463"/>
    <w:rsid w:val="00382E0A"/>
    <w:rsid w:val="003835C9"/>
    <w:rsid w:val="003A3857"/>
    <w:rsid w:val="003A43F7"/>
    <w:rsid w:val="003A5063"/>
    <w:rsid w:val="003A66EC"/>
    <w:rsid w:val="003B44F2"/>
    <w:rsid w:val="003B513B"/>
    <w:rsid w:val="003C7E9F"/>
    <w:rsid w:val="003D1E54"/>
    <w:rsid w:val="003D6735"/>
    <w:rsid w:val="003E0B11"/>
    <w:rsid w:val="003E18D3"/>
    <w:rsid w:val="003E4448"/>
    <w:rsid w:val="003E4A0D"/>
    <w:rsid w:val="003F0171"/>
    <w:rsid w:val="003F1A2D"/>
    <w:rsid w:val="003F517F"/>
    <w:rsid w:val="003F76F3"/>
    <w:rsid w:val="00406AFA"/>
    <w:rsid w:val="00406FD8"/>
    <w:rsid w:val="00412E7C"/>
    <w:rsid w:val="00414571"/>
    <w:rsid w:val="00415A21"/>
    <w:rsid w:val="004178DE"/>
    <w:rsid w:val="0042663A"/>
    <w:rsid w:val="0043454B"/>
    <w:rsid w:val="004350B9"/>
    <w:rsid w:val="004355C0"/>
    <w:rsid w:val="0043568B"/>
    <w:rsid w:val="004365EC"/>
    <w:rsid w:val="004370D3"/>
    <w:rsid w:val="0043718D"/>
    <w:rsid w:val="00440350"/>
    <w:rsid w:val="00444E6D"/>
    <w:rsid w:val="00444E7B"/>
    <w:rsid w:val="004452B0"/>
    <w:rsid w:val="00447BC0"/>
    <w:rsid w:val="00453CA3"/>
    <w:rsid w:val="0046475D"/>
    <w:rsid w:val="00465AAE"/>
    <w:rsid w:val="0046793C"/>
    <w:rsid w:val="00471D31"/>
    <w:rsid w:val="00481797"/>
    <w:rsid w:val="00481F56"/>
    <w:rsid w:val="0048276C"/>
    <w:rsid w:val="0048354C"/>
    <w:rsid w:val="00483D1A"/>
    <w:rsid w:val="00483F6A"/>
    <w:rsid w:val="004848C3"/>
    <w:rsid w:val="00493D6A"/>
    <w:rsid w:val="00497A76"/>
    <w:rsid w:val="004A155F"/>
    <w:rsid w:val="004A2186"/>
    <w:rsid w:val="004A7651"/>
    <w:rsid w:val="004B3805"/>
    <w:rsid w:val="004C0C0E"/>
    <w:rsid w:val="004C0DB6"/>
    <w:rsid w:val="004C3883"/>
    <w:rsid w:val="004C5BD8"/>
    <w:rsid w:val="004C6221"/>
    <w:rsid w:val="004C63D5"/>
    <w:rsid w:val="004C6EFE"/>
    <w:rsid w:val="004D3620"/>
    <w:rsid w:val="004D7A88"/>
    <w:rsid w:val="004E1BC4"/>
    <w:rsid w:val="004E3311"/>
    <w:rsid w:val="004E388C"/>
    <w:rsid w:val="004E4803"/>
    <w:rsid w:val="004E5661"/>
    <w:rsid w:val="004E704E"/>
    <w:rsid w:val="004F0B40"/>
    <w:rsid w:val="004F1087"/>
    <w:rsid w:val="004F3F82"/>
    <w:rsid w:val="00502B69"/>
    <w:rsid w:val="005071BC"/>
    <w:rsid w:val="00515AF4"/>
    <w:rsid w:val="005208DF"/>
    <w:rsid w:val="005215A8"/>
    <w:rsid w:val="00527F2B"/>
    <w:rsid w:val="00531EC3"/>
    <w:rsid w:val="005336F8"/>
    <w:rsid w:val="0053637D"/>
    <w:rsid w:val="00540C62"/>
    <w:rsid w:val="00540E07"/>
    <w:rsid w:val="00545DA9"/>
    <w:rsid w:val="00550DA1"/>
    <w:rsid w:val="0055181C"/>
    <w:rsid w:val="005537F4"/>
    <w:rsid w:val="00554A51"/>
    <w:rsid w:val="00555B13"/>
    <w:rsid w:val="005565E4"/>
    <w:rsid w:val="00557856"/>
    <w:rsid w:val="00563161"/>
    <w:rsid w:val="0056440E"/>
    <w:rsid w:val="005659B7"/>
    <w:rsid w:val="005665F3"/>
    <w:rsid w:val="00570C58"/>
    <w:rsid w:val="00570DAC"/>
    <w:rsid w:val="00571AE0"/>
    <w:rsid w:val="00571E51"/>
    <w:rsid w:val="005759B9"/>
    <w:rsid w:val="00577C81"/>
    <w:rsid w:val="0058127A"/>
    <w:rsid w:val="00591A5B"/>
    <w:rsid w:val="005940EE"/>
    <w:rsid w:val="005A15C3"/>
    <w:rsid w:val="005C4F6A"/>
    <w:rsid w:val="005D1593"/>
    <w:rsid w:val="005D1A25"/>
    <w:rsid w:val="005D255C"/>
    <w:rsid w:val="005D3C95"/>
    <w:rsid w:val="005D4C96"/>
    <w:rsid w:val="005D737F"/>
    <w:rsid w:val="005E0749"/>
    <w:rsid w:val="005E09DC"/>
    <w:rsid w:val="005E2A5E"/>
    <w:rsid w:val="005E3E78"/>
    <w:rsid w:val="005E5598"/>
    <w:rsid w:val="005F0055"/>
    <w:rsid w:val="005F3835"/>
    <w:rsid w:val="005F61A6"/>
    <w:rsid w:val="006005E6"/>
    <w:rsid w:val="00604394"/>
    <w:rsid w:val="00604421"/>
    <w:rsid w:val="00606B55"/>
    <w:rsid w:val="00611824"/>
    <w:rsid w:val="00612334"/>
    <w:rsid w:val="006143E3"/>
    <w:rsid w:val="006145C8"/>
    <w:rsid w:val="00620786"/>
    <w:rsid w:val="00623937"/>
    <w:rsid w:val="006244B8"/>
    <w:rsid w:val="006264DC"/>
    <w:rsid w:val="00627D5E"/>
    <w:rsid w:val="00631AEE"/>
    <w:rsid w:val="00635393"/>
    <w:rsid w:val="0063576D"/>
    <w:rsid w:val="0063620D"/>
    <w:rsid w:val="006418BB"/>
    <w:rsid w:val="00642926"/>
    <w:rsid w:val="006430E0"/>
    <w:rsid w:val="0064376E"/>
    <w:rsid w:val="00644AD4"/>
    <w:rsid w:val="00645955"/>
    <w:rsid w:val="00646399"/>
    <w:rsid w:val="00647C71"/>
    <w:rsid w:val="00650B35"/>
    <w:rsid w:val="00651518"/>
    <w:rsid w:val="00661187"/>
    <w:rsid w:val="0066719E"/>
    <w:rsid w:val="00667279"/>
    <w:rsid w:val="006675EA"/>
    <w:rsid w:val="006744B1"/>
    <w:rsid w:val="00675425"/>
    <w:rsid w:val="00680312"/>
    <w:rsid w:val="00684A0B"/>
    <w:rsid w:val="00684EE9"/>
    <w:rsid w:val="00687C34"/>
    <w:rsid w:val="00695951"/>
    <w:rsid w:val="00696E90"/>
    <w:rsid w:val="00697096"/>
    <w:rsid w:val="006976FF"/>
    <w:rsid w:val="006A0AB5"/>
    <w:rsid w:val="006A1063"/>
    <w:rsid w:val="006A3DA0"/>
    <w:rsid w:val="006A7E71"/>
    <w:rsid w:val="006B640D"/>
    <w:rsid w:val="006B7A87"/>
    <w:rsid w:val="006C20FD"/>
    <w:rsid w:val="006C3524"/>
    <w:rsid w:val="006D12EE"/>
    <w:rsid w:val="006D157D"/>
    <w:rsid w:val="006D3611"/>
    <w:rsid w:val="006D6267"/>
    <w:rsid w:val="006E0790"/>
    <w:rsid w:val="006E0A2B"/>
    <w:rsid w:val="006E2A57"/>
    <w:rsid w:val="006E3795"/>
    <w:rsid w:val="006F0765"/>
    <w:rsid w:val="006F0E6E"/>
    <w:rsid w:val="006F2E12"/>
    <w:rsid w:val="006F506E"/>
    <w:rsid w:val="006F602A"/>
    <w:rsid w:val="00711A32"/>
    <w:rsid w:val="0071296A"/>
    <w:rsid w:val="00714712"/>
    <w:rsid w:val="00716788"/>
    <w:rsid w:val="007167E9"/>
    <w:rsid w:val="00721BB1"/>
    <w:rsid w:val="00727048"/>
    <w:rsid w:val="00730EA4"/>
    <w:rsid w:val="00731D9C"/>
    <w:rsid w:val="00737EAA"/>
    <w:rsid w:val="00742C7C"/>
    <w:rsid w:val="00746866"/>
    <w:rsid w:val="00747416"/>
    <w:rsid w:val="00750F91"/>
    <w:rsid w:val="0075231D"/>
    <w:rsid w:val="00754F02"/>
    <w:rsid w:val="00757A34"/>
    <w:rsid w:val="007600A0"/>
    <w:rsid w:val="00762104"/>
    <w:rsid w:val="00763A34"/>
    <w:rsid w:val="00763EFC"/>
    <w:rsid w:val="007641DC"/>
    <w:rsid w:val="00767E9A"/>
    <w:rsid w:val="00770540"/>
    <w:rsid w:val="007723A9"/>
    <w:rsid w:val="00772D99"/>
    <w:rsid w:val="00775668"/>
    <w:rsid w:val="00775A3B"/>
    <w:rsid w:val="00775B86"/>
    <w:rsid w:val="007775DF"/>
    <w:rsid w:val="007839E4"/>
    <w:rsid w:val="007857DD"/>
    <w:rsid w:val="00786FD9"/>
    <w:rsid w:val="007901E9"/>
    <w:rsid w:val="00790531"/>
    <w:rsid w:val="00794062"/>
    <w:rsid w:val="00794F4C"/>
    <w:rsid w:val="007958D6"/>
    <w:rsid w:val="007974A7"/>
    <w:rsid w:val="00797963"/>
    <w:rsid w:val="00797E63"/>
    <w:rsid w:val="007A2BB1"/>
    <w:rsid w:val="007A6999"/>
    <w:rsid w:val="007B44ED"/>
    <w:rsid w:val="007B463B"/>
    <w:rsid w:val="007B696B"/>
    <w:rsid w:val="007C1F7F"/>
    <w:rsid w:val="007C263E"/>
    <w:rsid w:val="007C3C5D"/>
    <w:rsid w:val="007C50B3"/>
    <w:rsid w:val="007C7970"/>
    <w:rsid w:val="007C7CFA"/>
    <w:rsid w:val="007C7DEF"/>
    <w:rsid w:val="007D0408"/>
    <w:rsid w:val="007D0D16"/>
    <w:rsid w:val="007D17FF"/>
    <w:rsid w:val="007D3FED"/>
    <w:rsid w:val="007D59A6"/>
    <w:rsid w:val="007D706F"/>
    <w:rsid w:val="007D713E"/>
    <w:rsid w:val="007E00E5"/>
    <w:rsid w:val="007E3761"/>
    <w:rsid w:val="007E4AEF"/>
    <w:rsid w:val="007E61B2"/>
    <w:rsid w:val="007F310A"/>
    <w:rsid w:val="007F6A74"/>
    <w:rsid w:val="007F6C8D"/>
    <w:rsid w:val="008008BD"/>
    <w:rsid w:val="00803B89"/>
    <w:rsid w:val="0082036F"/>
    <w:rsid w:val="008205C3"/>
    <w:rsid w:val="00821DB8"/>
    <w:rsid w:val="0082604B"/>
    <w:rsid w:val="00831C7C"/>
    <w:rsid w:val="0083227E"/>
    <w:rsid w:val="0083446D"/>
    <w:rsid w:val="00843609"/>
    <w:rsid w:val="00846227"/>
    <w:rsid w:val="0085367E"/>
    <w:rsid w:val="00854F1E"/>
    <w:rsid w:val="00855843"/>
    <w:rsid w:val="00862931"/>
    <w:rsid w:val="00862ADB"/>
    <w:rsid w:val="00872692"/>
    <w:rsid w:val="008735B8"/>
    <w:rsid w:val="00873D50"/>
    <w:rsid w:val="00875D56"/>
    <w:rsid w:val="00877694"/>
    <w:rsid w:val="00882E77"/>
    <w:rsid w:val="00883026"/>
    <w:rsid w:val="008833EA"/>
    <w:rsid w:val="008857A8"/>
    <w:rsid w:val="00885AA7"/>
    <w:rsid w:val="00890088"/>
    <w:rsid w:val="0089026E"/>
    <w:rsid w:val="008910E1"/>
    <w:rsid w:val="00892408"/>
    <w:rsid w:val="0089321B"/>
    <w:rsid w:val="00894F5B"/>
    <w:rsid w:val="00895EF2"/>
    <w:rsid w:val="00895FF5"/>
    <w:rsid w:val="008A2F16"/>
    <w:rsid w:val="008A361B"/>
    <w:rsid w:val="008A363C"/>
    <w:rsid w:val="008B2124"/>
    <w:rsid w:val="008B57C8"/>
    <w:rsid w:val="008C2594"/>
    <w:rsid w:val="008D0E03"/>
    <w:rsid w:val="008D21E1"/>
    <w:rsid w:val="008E30EE"/>
    <w:rsid w:val="008E6ECB"/>
    <w:rsid w:val="008E7B18"/>
    <w:rsid w:val="008F791B"/>
    <w:rsid w:val="0090166F"/>
    <w:rsid w:val="009115F7"/>
    <w:rsid w:val="0091352F"/>
    <w:rsid w:val="00916955"/>
    <w:rsid w:val="00920F60"/>
    <w:rsid w:val="0092399A"/>
    <w:rsid w:val="00934110"/>
    <w:rsid w:val="009377B3"/>
    <w:rsid w:val="00941715"/>
    <w:rsid w:val="00944BFD"/>
    <w:rsid w:val="00944C05"/>
    <w:rsid w:val="009518A8"/>
    <w:rsid w:val="00953A10"/>
    <w:rsid w:val="00956B72"/>
    <w:rsid w:val="00960A02"/>
    <w:rsid w:val="009814B2"/>
    <w:rsid w:val="00987CDE"/>
    <w:rsid w:val="00993B58"/>
    <w:rsid w:val="00996120"/>
    <w:rsid w:val="009A14FE"/>
    <w:rsid w:val="009B0B3A"/>
    <w:rsid w:val="009B0C6D"/>
    <w:rsid w:val="009B216A"/>
    <w:rsid w:val="009B2960"/>
    <w:rsid w:val="009B297F"/>
    <w:rsid w:val="009B5894"/>
    <w:rsid w:val="009B6D87"/>
    <w:rsid w:val="009C1118"/>
    <w:rsid w:val="009C6DCE"/>
    <w:rsid w:val="009C7E28"/>
    <w:rsid w:val="009D3B80"/>
    <w:rsid w:val="009D3FBD"/>
    <w:rsid w:val="009D5071"/>
    <w:rsid w:val="009D51F9"/>
    <w:rsid w:val="009D5D7D"/>
    <w:rsid w:val="009D73E9"/>
    <w:rsid w:val="009E435B"/>
    <w:rsid w:val="009E5F1C"/>
    <w:rsid w:val="009F0509"/>
    <w:rsid w:val="009F2607"/>
    <w:rsid w:val="009F46A9"/>
    <w:rsid w:val="009F7E37"/>
    <w:rsid w:val="00A01B8C"/>
    <w:rsid w:val="00A0696C"/>
    <w:rsid w:val="00A12291"/>
    <w:rsid w:val="00A1339F"/>
    <w:rsid w:val="00A233AA"/>
    <w:rsid w:val="00A233E4"/>
    <w:rsid w:val="00A25F84"/>
    <w:rsid w:val="00A35175"/>
    <w:rsid w:val="00A512A6"/>
    <w:rsid w:val="00A559CE"/>
    <w:rsid w:val="00A571CC"/>
    <w:rsid w:val="00A6119C"/>
    <w:rsid w:val="00A61A5C"/>
    <w:rsid w:val="00A61BEE"/>
    <w:rsid w:val="00A709FE"/>
    <w:rsid w:val="00A730B6"/>
    <w:rsid w:val="00A76160"/>
    <w:rsid w:val="00A8064C"/>
    <w:rsid w:val="00A82B31"/>
    <w:rsid w:val="00A8725B"/>
    <w:rsid w:val="00A91602"/>
    <w:rsid w:val="00A97133"/>
    <w:rsid w:val="00AA12F7"/>
    <w:rsid w:val="00AC7F38"/>
    <w:rsid w:val="00AE125F"/>
    <w:rsid w:val="00AE29C5"/>
    <w:rsid w:val="00AE36A9"/>
    <w:rsid w:val="00AE4473"/>
    <w:rsid w:val="00AE4AB6"/>
    <w:rsid w:val="00AF4457"/>
    <w:rsid w:val="00AF58A2"/>
    <w:rsid w:val="00AF5D83"/>
    <w:rsid w:val="00B0146A"/>
    <w:rsid w:val="00B02B99"/>
    <w:rsid w:val="00B04D8D"/>
    <w:rsid w:val="00B06674"/>
    <w:rsid w:val="00B074EB"/>
    <w:rsid w:val="00B1115E"/>
    <w:rsid w:val="00B11D12"/>
    <w:rsid w:val="00B20524"/>
    <w:rsid w:val="00B22B59"/>
    <w:rsid w:val="00B22EF2"/>
    <w:rsid w:val="00B2590F"/>
    <w:rsid w:val="00B30D60"/>
    <w:rsid w:val="00B3324A"/>
    <w:rsid w:val="00B33CB6"/>
    <w:rsid w:val="00B34A84"/>
    <w:rsid w:val="00B3566A"/>
    <w:rsid w:val="00B400E7"/>
    <w:rsid w:val="00B41453"/>
    <w:rsid w:val="00B46640"/>
    <w:rsid w:val="00B46AF3"/>
    <w:rsid w:val="00B4759A"/>
    <w:rsid w:val="00B54294"/>
    <w:rsid w:val="00B55F52"/>
    <w:rsid w:val="00B6675D"/>
    <w:rsid w:val="00B706FC"/>
    <w:rsid w:val="00B70EAC"/>
    <w:rsid w:val="00B71401"/>
    <w:rsid w:val="00B72930"/>
    <w:rsid w:val="00B7653B"/>
    <w:rsid w:val="00B81947"/>
    <w:rsid w:val="00B83B63"/>
    <w:rsid w:val="00B90614"/>
    <w:rsid w:val="00B934AD"/>
    <w:rsid w:val="00B94191"/>
    <w:rsid w:val="00B94949"/>
    <w:rsid w:val="00BA2BD9"/>
    <w:rsid w:val="00BA3331"/>
    <w:rsid w:val="00BA48FA"/>
    <w:rsid w:val="00BA5626"/>
    <w:rsid w:val="00BA657A"/>
    <w:rsid w:val="00BA65BC"/>
    <w:rsid w:val="00BA7A8F"/>
    <w:rsid w:val="00BB300F"/>
    <w:rsid w:val="00BB3AB5"/>
    <w:rsid w:val="00BC04E6"/>
    <w:rsid w:val="00BC4ABE"/>
    <w:rsid w:val="00BC5C92"/>
    <w:rsid w:val="00BD302E"/>
    <w:rsid w:val="00BD684A"/>
    <w:rsid w:val="00BF033D"/>
    <w:rsid w:val="00BF7818"/>
    <w:rsid w:val="00C007C7"/>
    <w:rsid w:val="00C02481"/>
    <w:rsid w:val="00C029A5"/>
    <w:rsid w:val="00C0763E"/>
    <w:rsid w:val="00C112E3"/>
    <w:rsid w:val="00C15E8B"/>
    <w:rsid w:val="00C173E7"/>
    <w:rsid w:val="00C306F2"/>
    <w:rsid w:val="00C311EE"/>
    <w:rsid w:val="00C31E33"/>
    <w:rsid w:val="00C3291B"/>
    <w:rsid w:val="00C3476D"/>
    <w:rsid w:val="00C41024"/>
    <w:rsid w:val="00C52EE4"/>
    <w:rsid w:val="00C54689"/>
    <w:rsid w:val="00C54FEF"/>
    <w:rsid w:val="00C625AB"/>
    <w:rsid w:val="00C64FA8"/>
    <w:rsid w:val="00C727D6"/>
    <w:rsid w:val="00C74795"/>
    <w:rsid w:val="00C758D5"/>
    <w:rsid w:val="00C764F8"/>
    <w:rsid w:val="00C7769A"/>
    <w:rsid w:val="00C804C9"/>
    <w:rsid w:val="00C80B4D"/>
    <w:rsid w:val="00C85038"/>
    <w:rsid w:val="00C8697E"/>
    <w:rsid w:val="00C86FAB"/>
    <w:rsid w:val="00C8735C"/>
    <w:rsid w:val="00C8769D"/>
    <w:rsid w:val="00C92849"/>
    <w:rsid w:val="00C97D7A"/>
    <w:rsid w:val="00CA57DF"/>
    <w:rsid w:val="00CB0D85"/>
    <w:rsid w:val="00CB5438"/>
    <w:rsid w:val="00CB7067"/>
    <w:rsid w:val="00CC2F26"/>
    <w:rsid w:val="00CC4098"/>
    <w:rsid w:val="00CC7C6C"/>
    <w:rsid w:val="00CD2FC4"/>
    <w:rsid w:val="00CD5654"/>
    <w:rsid w:val="00CE0AD9"/>
    <w:rsid w:val="00CE4EF2"/>
    <w:rsid w:val="00CE54B2"/>
    <w:rsid w:val="00CF18A5"/>
    <w:rsid w:val="00D034E0"/>
    <w:rsid w:val="00D04FB0"/>
    <w:rsid w:val="00D073AA"/>
    <w:rsid w:val="00D15AC6"/>
    <w:rsid w:val="00D20344"/>
    <w:rsid w:val="00D20BDA"/>
    <w:rsid w:val="00D24947"/>
    <w:rsid w:val="00D25D9A"/>
    <w:rsid w:val="00D25F6B"/>
    <w:rsid w:val="00D27A9A"/>
    <w:rsid w:val="00D30244"/>
    <w:rsid w:val="00D30273"/>
    <w:rsid w:val="00D317F9"/>
    <w:rsid w:val="00D3271F"/>
    <w:rsid w:val="00D40F96"/>
    <w:rsid w:val="00D41A1B"/>
    <w:rsid w:val="00D41A55"/>
    <w:rsid w:val="00D42387"/>
    <w:rsid w:val="00D43548"/>
    <w:rsid w:val="00D44EA3"/>
    <w:rsid w:val="00D47C54"/>
    <w:rsid w:val="00D51523"/>
    <w:rsid w:val="00D523B2"/>
    <w:rsid w:val="00D62B7D"/>
    <w:rsid w:val="00D741E5"/>
    <w:rsid w:val="00D74F23"/>
    <w:rsid w:val="00D753D8"/>
    <w:rsid w:val="00D810F5"/>
    <w:rsid w:val="00D814D3"/>
    <w:rsid w:val="00D8742E"/>
    <w:rsid w:val="00DA0577"/>
    <w:rsid w:val="00DA4BD2"/>
    <w:rsid w:val="00DA5BFF"/>
    <w:rsid w:val="00DA60E3"/>
    <w:rsid w:val="00DA68FC"/>
    <w:rsid w:val="00DA6FF8"/>
    <w:rsid w:val="00DC0E99"/>
    <w:rsid w:val="00DC0F1F"/>
    <w:rsid w:val="00DC6E53"/>
    <w:rsid w:val="00DC74E2"/>
    <w:rsid w:val="00DD18E6"/>
    <w:rsid w:val="00DD2AE3"/>
    <w:rsid w:val="00DD43DD"/>
    <w:rsid w:val="00DE0043"/>
    <w:rsid w:val="00DE0ADC"/>
    <w:rsid w:val="00DE1212"/>
    <w:rsid w:val="00DE2739"/>
    <w:rsid w:val="00DF2733"/>
    <w:rsid w:val="00DF4F7C"/>
    <w:rsid w:val="00DF5C71"/>
    <w:rsid w:val="00DF5FEB"/>
    <w:rsid w:val="00E04001"/>
    <w:rsid w:val="00E109CB"/>
    <w:rsid w:val="00E13163"/>
    <w:rsid w:val="00E14AFB"/>
    <w:rsid w:val="00E17110"/>
    <w:rsid w:val="00E236B0"/>
    <w:rsid w:val="00E30AF2"/>
    <w:rsid w:val="00E32EC6"/>
    <w:rsid w:val="00E40C65"/>
    <w:rsid w:val="00E41DC6"/>
    <w:rsid w:val="00E46924"/>
    <w:rsid w:val="00E46F5F"/>
    <w:rsid w:val="00E544D7"/>
    <w:rsid w:val="00E61DDD"/>
    <w:rsid w:val="00E70EA8"/>
    <w:rsid w:val="00E71385"/>
    <w:rsid w:val="00E72A00"/>
    <w:rsid w:val="00E73437"/>
    <w:rsid w:val="00E747A8"/>
    <w:rsid w:val="00E74DCB"/>
    <w:rsid w:val="00E80104"/>
    <w:rsid w:val="00E80A67"/>
    <w:rsid w:val="00E8589C"/>
    <w:rsid w:val="00E85AD6"/>
    <w:rsid w:val="00E86068"/>
    <w:rsid w:val="00E86E75"/>
    <w:rsid w:val="00E9171B"/>
    <w:rsid w:val="00E91BB6"/>
    <w:rsid w:val="00E92164"/>
    <w:rsid w:val="00EA2D26"/>
    <w:rsid w:val="00EA3061"/>
    <w:rsid w:val="00EA4C29"/>
    <w:rsid w:val="00EA4F00"/>
    <w:rsid w:val="00EB2469"/>
    <w:rsid w:val="00EB4393"/>
    <w:rsid w:val="00EC08E0"/>
    <w:rsid w:val="00EC2C3C"/>
    <w:rsid w:val="00ED0232"/>
    <w:rsid w:val="00ED366A"/>
    <w:rsid w:val="00ED3EC0"/>
    <w:rsid w:val="00ED3ED7"/>
    <w:rsid w:val="00ED47AD"/>
    <w:rsid w:val="00ED62EB"/>
    <w:rsid w:val="00ED65FE"/>
    <w:rsid w:val="00ED725B"/>
    <w:rsid w:val="00EE5184"/>
    <w:rsid w:val="00EF28C8"/>
    <w:rsid w:val="00EF73E9"/>
    <w:rsid w:val="00F008F7"/>
    <w:rsid w:val="00F010CE"/>
    <w:rsid w:val="00F017B0"/>
    <w:rsid w:val="00F0477B"/>
    <w:rsid w:val="00F16019"/>
    <w:rsid w:val="00F1798B"/>
    <w:rsid w:val="00F205BE"/>
    <w:rsid w:val="00F2142B"/>
    <w:rsid w:val="00F21F1A"/>
    <w:rsid w:val="00F3290A"/>
    <w:rsid w:val="00F3291E"/>
    <w:rsid w:val="00F355C7"/>
    <w:rsid w:val="00F4269A"/>
    <w:rsid w:val="00F4476F"/>
    <w:rsid w:val="00F46D67"/>
    <w:rsid w:val="00F47305"/>
    <w:rsid w:val="00F50730"/>
    <w:rsid w:val="00F5102A"/>
    <w:rsid w:val="00F56BB2"/>
    <w:rsid w:val="00F60064"/>
    <w:rsid w:val="00F60AB3"/>
    <w:rsid w:val="00F61CFC"/>
    <w:rsid w:val="00F718E9"/>
    <w:rsid w:val="00F77DED"/>
    <w:rsid w:val="00F90C5E"/>
    <w:rsid w:val="00F933D7"/>
    <w:rsid w:val="00F94657"/>
    <w:rsid w:val="00F96242"/>
    <w:rsid w:val="00FA110F"/>
    <w:rsid w:val="00FA2DD1"/>
    <w:rsid w:val="00FB1209"/>
    <w:rsid w:val="00FB27C5"/>
    <w:rsid w:val="00FB3400"/>
    <w:rsid w:val="00FB4645"/>
    <w:rsid w:val="00FB646C"/>
    <w:rsid w:val="00FB7312"/>
    <w:rsid w:val="00FC4A1F"/>
    <w:rsid w:val="00FC4AFB"/>
    <w:rsid w:val="00FC6E14"/>
    <w:rsid w:val="00FD06F7"/>
    <w:rsid w:val="00FD1CB4"/>
    <w:rsid w:val="00FD2AF0"/>
    <w:rsid w:val="00FD33DF"/>
    <w:rsid w:val="00FD39B1"/>
    <w:rsid w:val="00FD4C3E"/>
    <w:rsid w:val="00FD5E88"/>
    <w:rsid w:val="00FD6030"/>
    <w:rsid w:val="00FD7BDF"/>
    <w:rsid w:val="00FE0D7F"/>
    <w:rsid w:val="00FE0FE8"/>
    <w:rsid w:val="00FE36A9"/>
    <w:rsid w:val="00FE5CF9"/>
    <w:rsid w:val="00FE5FF3"/>
    <w:rsid w:val="00FF1230"/>
    <w:rsid w:val="00FF4329"/>
    <w:rsid w:val="00FF69AB"/>
    <w:rsid w:val="00FF7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38551"/>
  <w15:docId w15:val="{B927063C-FB02-4503-9210-517B1D457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42926"/>
    <w:pPr>
      <w:ind w:left="720"/>
      <w:contextualSpacing/>
    </w:pPr>
  </w:style>
  <w:style w:type="paragraph" w:styleId="SemEspaamento">
    <w:name w:val="No Spacing"/>
    <w:aliases w:val="EMENTA"/>
    <w:uiPriority w:val="1"/>
    <w:qFormat/>
    <w:rsid w:val="008F791B"/>
    <w:pPr>
      <w:spacing w:after="360" w:line="360" w:lineRule="auto"/>
      <w:jc w:val="both"/>
    </w:pPr>
    <w:rPr>
      <w:rFonts w:ascii="Times New Roman" w:hAnsi="Times New Roman"/>
      <w:b/>
      <w:caps/>
      <w:sz w:val="24"/>
    </w:rPr>
  </w:style>
  <w:style w:type="character" w:styleId="Hyperlink">
    <w:name w:val="Hyperlink"/>
    <w:basedOn w:val="Fontepargpadro"/>
    <w:uiPriority w:val="99"/>
    <w:unhideWhenUsed/>
    <w:rsid w:val="00007C57"/>
    <w:rPr>
      <w:color w:val="0000FF"/>
      <w:u w:val="single"/>
    </w:rPr>
  </w:style>
  <w:style w:type="character" w:customStyle="1" w:styleId="highlightbrs">
    <w:name w:val="highlightbrs"/>
    <w:basedOn w:val="Fontepargpadro"/>
    <w:rsid w:val="002A270B"/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647C71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647C71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647C71"/>
    <w:rPr>
      <w:vertAlign w:val="superscript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647C71"/>
    <w:rPr>
      <w:color w:val="605E5C"/>
      <w:shd w:val="clear" w:color="auto" w:fill="E1DFDD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32DED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32DED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32DED"/>
    <w:rPr>
      <w:vertAlign w:val="superscript"/>
    </w:rPr>
  </w:style>
  <w:style w:type="paragraph" w:styleId="NormalWeb">
    <w:name w:val="Normal (Web)"/>
    <w:basedOn w:val="Normal"/>
    <w:uiPriority w:val="99"/>
    <w:unhideWhenUsed/>
    <w:rsid w:val="00DA5B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412E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12E7C"/>
  </w:style>
  <w:style w:type="paragraph" w:styleId="Rodap">
    <w:name w:val="footer"/>
    <w:basedOn w:val="Normal"/>
    <w:link w:val="RodapChar"/>
    <w:uiPriority w:val="99"/>
    <w:unhideWhenUsed/>
    <w:rsid w:val="00412E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12E7C"/>
  </w:style>
  <w:style w:type="character" w:styleId="nfase">
    <w:name w:val="Emphasis"/>
    <w:basedOn w:val="Fontepargpadro"/>
    <w:uiPriority w:val="20"/>
    <w:qFormat/>
    <w:rsid w:val="00D74F23"/>
    <w:rPr>
      <w:i/>
      <w:iCs/>
    </w:rPr>
  </w:style>
  <w:style w:type="character" w:styleId="RefernciaIntensa">
    <w:name w:val="Intense Reference"/>
    <w:basedOn w:val="Fontepargpadro"/>
    <w:uiPriority w:val="32"/>
    <w:qFormat/>
    <w:rsid w:val="00E04001"/>
    <w:rPr>
      <w:b/>
      <w:bCs/>
      <w:smallCaps/>
      <w:color w:val="5B9BD5" w:themeColor="accent1"/>
      <w:spacing w:val="5"/>
    </w:rPr>
  </w:style>
  <w:style w:type="paragraph" w:styleId="Reviso">
    <w:name w:val="Revision"/>
    <w:hidden/>
    <w:uiPriority w:val="99"/>
    <w:semiHidden/>
    <w:rsid w:val="003835C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1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2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7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0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9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2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6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47196AB5BBE5E429A3A4541B64F6B06" ma:contentTypeVersion="3" ma:contentTypeDescription="Crie um novo documento." ma:contentTypeScope="" ma:versionID="836c99576870cf019a53e37b81103b64">
  <xsd:schema xmlns:xsd="http://www.w3.org/2001/XMLSchema" xmlns:xs="http://www.w3.org/2001/XMLSchema" xmlns:p="http://schemas.microsoft.com/office/2006/metadata/properties" xmlns:ns2="c04bd5eb-5da3-4c78-b159-2bc8443a6345" targetNamespace="http://schemas.microsoft.com/office/2006/metadata/properties" ma:root="true" ma:fieldsID="636968aa25aef7f193f0ac41a261ecff" ns2:_="">
    <xsd:import namespace="c04bd5eb-5da3-4c78-b159-2bc8443a634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4bd5eb-5da3-4c78-b159-2bc8443a63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5FF045F-601A-4612-B1A1-F2257C41678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6D634CA-D40F-4846-8535-E8E8C090B57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701D7A9-160D-436A-8007-0B848EBA4C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4bd5eb-5da3-4c78-b159-2bc8443a63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1EA04D0-D1F7-4D79-AED1-FE63121064E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1617</TotalTime>
  <Pages>1</Pages>
  <Words>610</Words>
  <Characters>3298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Tribunal de Justiça do Estado do Paraná</Company>
  <LinksUpToDate>false</LinksUpToDate>
  <CharactersWithSpaces>3901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Cleysson Willian Vilaca de Jesus</dc:creator>
  <cp:keywords/>
  <dc:description/>
  <cp:lastModifiedBy>Cleysson Willian Vilaca de Jesus</cp:lastModifiedBy>
  <cp:revision>178</cp:revision>
  <cp:lastPrinted>2023-02-01T16:46:00Z</cp:lastPrinted>
  <dcterms:created xsi:type="dcterms:W3CDTF">2023-06-15T19:39:00Z</dcterms:created>
  <dcterms:modified xsi:type="dcterms:W3CDTF">2025-07-21T20:29:00Z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0x010100047196AB5BBE5E429A3A4541B64F6B06</vt:lpwstr>
  </property>
</Properties>
</file>