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5CD1F" w14:textId="6521EB17" w:rsidR="00B73070" w:rsidRPr="009F5D32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F5D32">
        <w:rPr>
          <w:rFonts w:eastAsiaTheme="minorHAnsi"/>
          <w:b/>
          <w:bCs/>
          <w:sz w:val="24"/>
          <w:szCs w:val="24"/>
          <w:lang w:eastAsia="en-US"/>
        </w:rPr>
        <w:t xml:space="preserve">DIREITO PROCESSUAL CIVIL. AGRAVO INTERNO. </w:t>
      </w:r>
      <w:r w:rsidR="004A2972" w:rsidRPr="009F5D32">
        <w:rPr>
          <w:rFonts w:eastAsiaTheme="minorHAnsi"/>
          <w:b/>
          <w:bCs/>
          <w:sz w:val="24"/>
          <w:szCs w:val="24"/>
          <w:lang w:eastAsia="en-US"/>
        </w:rPr>
        <w:t xml:space="preserve">AGRAVO DE INSTRUMENTO. </w:t>
      </w:r>
      <w:r w:rsidR="000F2C57" w:rsidRPr="009F5D32">
        <w:rPr>
          <w:rFonts w:eastAsiaTheme="minorHAnsi"/>
          <w:b/>
          <w:bCs/>
          <w:sz w:val="24"/>
          <w:szCs w:val="24"/>
          <w:lang w:eastAsia="en-US"/>
        </w:rPr>
        <w:t xml:space="preserve">ADMISSIBILIDADE. NÃO CONHECIMENTO. </w:t>
      </w:r>
      <w:r w:rsidR="00F46F09" w:rsidRPr="009F5D32">
        <w:rPr>
          <w:rFonts w:eastAsiaTheme="minorHAnsi"/>
          <w:b/>
          <w:bCs/>
          <w:sz w:val="24"/>
          <w:szCs w:val="24"/>
          <w:lang w:eastAsia="en-US"/>
        </w:rPr>
        <w:t>SUPRESSÃO DE INSTÂNCIA</w:t>
      </w:r>
      <w:r w:rsidR="000F2C57" w:rsidRPr="009F5D32"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2B4D33D4" w14:textId="77777777" w:rsidR="00446273" w:rsidRPr="009F5D32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F5D32">
        <w:rPr>
          <w:rFonts w:eastAsiaTheme="minorHAnsi"/>
          <w:b/>
          <w:bCs/>
          <w:sz w:val="24"/>
          <w:szCs w:val="24"/>
          <w:lang w:eastAsia="en-US"/>
        </w:rPr>
        <w:t>I. CASO EM EXAME</w:t>
      </w:r>
    </w:p>
    <w:p w14:paraId="26668A41" w14:textId="08E2DDD6" w:rsidR="00446273" w:rsidRPr="009F5D32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F5D32">
        <w:rPr>
          <w:rFonts w:eastAsiaTheme="minorHAnsi"/>
          <w:b/>
          <w:bCs/>
          <w:sz w:val="24"/>
          <w:szCs w:val="24"/>
          <w:lang w:eastAsia="en-US"/>
        </w:rPr>
        <w:t xml:space="preserve">Agravo interno interposto contra decisão monocrática </w:t>
      </w:r>
      <w:r w:rsidR="00261A23" w:rsidRPr="009F5D32">
        <w:rPr>
          <w:rFonts w:eastAsiaTheme="minorHAnsi"/>
          <w:b/>
          <w:bCs/>
          <w:sz w:val="24"/>
          <w:szCs w:val="24"/>
          <w:lang w:eastAsia="en-US"/>
        </w:rPr>
        <w:t>que não conheceu de agravo de instrumento</w:t>
      </w:r>
      <w:r w:rsidR="005B6FCD" w:rsidRPr="009F5D32"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209D47F7" w14:textId="77777777" w:rsidR="00446273" w:rsidRPr="009F5D32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F5D32">
        <w:rPr>
          <w:rFonts w:eastAsiaTheme="minorHAnsi"/>
          <w:b/>
          <w:bCs/>
          <w:sz w:val="24"/>
          <w:szCs w:val="24"/>
          <w:lang w:eastAsia="en-US"/>
        </w:rPr>
        <w:t>II. QUESTÃO EM DISCUSSÃO</w:t>
      </w:r>
    </w:p>
    <w:p w14:paraId="48148366" w14:textId="77777777" w:rsidR="00405AB7" w:rsidRPr="009F5D32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F5D32">
        <w:rPr>
          <w:rFonts w:eastAsiaTheme="minorHAnsi"/>
          <w:b/>
          <w:bCs/>
          <w:sz w:val="24"/>
          <w:szCs w:val="24"/>
          <w:lang w:eastAsia="en-US"/>
        </w:rPr>
        <w:t>Possibilidade de conhecimento do agravo de instrumento diante da ausência de enfrentamento das matérias suscitadas na decisão recorrida.</w:t>
      </w:r>
    </w:p>
    <w:p w14:paraId="5601AA02" w14:textId="77777777" w:rsidR="00405AB7" w:rsidRPr="009F5D32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F5D32">
        <w:rPr>
          <w:rFonts w:eastAsiaTheme="minorHAnsi"/>
          <w:b/>
          <w:bCs/>
          <w:sz w:val="24"/>
          <w:szCs w:val="24"/>
          <w:lang w:eastAsia="en-US"/>
        </w:rPr>
        <w:t>III. RAZÕES DE DECIDIR</w:t>
      </w:r>
    </w:p>
    <w:p w14:paraId="18E3F348" w14:textId="67EB89E3" w:rsidR="00405AB7" w:rsidRPr="009F5D32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F5D32">
        <w:rPr>
          <w:rFonts w:eastAsiaTheme="minorHAnsi"/>
          <w:b/>
          <w:bCs/>
          <w:sz w:val="24"/>
          <w:szCs w:val="24"/>
          <w:lang w:eastAsia="en-US"/>
        </w:rPr>
        <w:t>O agravo de instrumento não pode ser conhecido quando as matérias nele suscitadas não for</w:t>
      </w:r>
      <w:r w:rsidR="009F5D32">
        <w:rPr>
          <w:rFonts w:eastAsiaTheme="minorHAnsi"/>
          <w:b/>
          <w:bCs/>
          <w:sz w:val="24"/>
          <w:szCs w:val="24"/>
          <w:lang w:eastAsia="en-US"/>
        </w:rPr>
        <w:t>a</w:t>
      </w:r>
      <w:r w:rsidRPr="009F5D32">
        <w:rPr>
          <w:rFonts w:eastAsiaTheme="minorHAnsi"/>
          <w:b/>
          <w:bCs/>
          <w:sz w:val="24"/>
          <w:szCs w:val="24"/>
          <w:lang w:eastAsia="en-US"/>
        </w:rPr>
        <w:t>m objeto de apreciação pela decisão recorrida, sob pena de afronta ao devido processo legal.</w:t>
      </w:r>
    </w:p>
    <w:p w14:paraId="7BF8E1DA" w14:textId="77777777" w:rsidR="00405AB7" w:rsidRPr="009F5D32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F5D32">
        <w:rPr>
          <w:rFonts w:eastAsiaTheme="minorHAnsi"/>
          <w:b/>
          <w:bCs/>
          <w:sz w:val="24"/>
          <w:szCs w:val="24"/>
          <w:lang w:eastAsia="en-US"/>
        </w:rPr>
        <w:t>IV. SOLUÇÃO DO CASO</w:t>
      </w:r>
    </w:p>
    <w:p w14:paraId="15FD5A17" w14:textId="77777777" w:rsidR="00405AB7" w:rsidRPr="009F5D32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F5D32">
        <w:rPr>
          <w:rFonts w:eastAsiaTheme="minorHAnsi"/>
          <w:b/>
          <w:bCs/>
          <w:sz w:val="24"/>
          <w:szCs w:val="24"/>
          <w:lang w:eastAsia="en-US"/>
        </w:rPr>
        <w:t>Recurso conhecido e desprovido.</w:t>
      </w:r>
    </w:p>
    <w:p w14:paraId="3375DB6E" w14:textId="77777777" w:rsidR="00405AB7" w:rsidRPr="009F5D32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F5D32">
        <w:rPr>
          <w:rFonts w:eastAsiaTheme="minorHAnsi"/>
          <w:b/>
          <w:bCs/>
          <w:sz w:val="24"/>
          <w:szCs w:val="24"/>
          <w:lang w:eastAsia="en-US"/>
        </w:rPr>
        <w:t>V. LEGISLAÇÃO E JURISPRUDÊNCIA UTILIZADAS</w:t>
      </w:r>
    </w:p>
    <w:p w14:paraId="4B6FD1D8" w14:textId="77777777" w:rsidR="00405AB7" w:rsidRPr="009F5D32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F5D32">
        <w:rPr>
          <w:rFonts w:eastAsiaTheme="minorHAnsi"/>
          <w:b/>
          <w:bCs/>
          <w:sz w:val="24"/>
          <w:szCs w:val="24"/>
          <w:lang w:eastAsia="en-US"/>
        </w:rPr>
        <w:t>V.I. LEGISLAÇÃO</w:t>
      </w:r>
    </w:p>
    <w:p w14:paraId="1BD21EDE" w14:textId="59CEDAD5" w:rsidR="00405AB7" w:rsidRPr="009F5D32" w:rsidRDefault="009F5D32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9F5D32">
        <w:rPr>
          <w:rFonts w:eastAsiaTheme="minorHAnsi"/>
          <w:b/>
          <w:bCs/>
          <w:sz w:val="24"/>
          <w:szCs w:val="24"/>
          <w:lang w:eastAsia="en-US"/>
        </w:rPr>
        <w:t>CPC: art. 300.</w:t>
      </w:r>
    </w:p>
    <w:p w14:paraId="66F6E47E" w14:textId="77777777" w:rsidR="00405AB7" w:rsidRPr="009F5D32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9F5D32">
        <w:rPr>
          <w:rFonts w:eastAsiaTheme="minorHAnsi"/>
          <w:b/>
          <w:bCs/>
          <w:sz w:val="24"/>
          <w:szCs w:val="24"/>
          <w:lang w:eastAsia="en-US"/>
        </w:rPr>
        <w:t>V.II</w:t>
      </w:r>
      <w:proofErr w:type="spellEnd"/>
      <w:r w:rsidRPr="009F5D32">
        <w:rPr>
          <w:rFonts w:eastAsiaTheme="minorHAnsi"/>
          <w:b/>
          <w:bCs/>
          <w:sz w:val="24"/>
          <w:szCs w:val="24"/>
          <w:lang w:eastAsia="en-US"/>
        </w:rPr>
        <w:t>. JURISPRUDÊNCIA</w:t>
      </w:r>
    </w:p>
    <w:p w14:paraId="28A8984E" w14:textId="28D3FD28" w:rsidR="00405AB7" w:rsidRPr="009F5D32" w:rsidRDefault="00405AB7" w:rsidP="00405AB7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9F5D32">
        <w:rPr>
          <w:rFonts w:eastAsiaTheme="minorHAnsi"/>
          <w:b/>
          <w:bCs/>
          <w:sz w:val="24"/>
          <w:szCs w:val="24"/>
          <w:lang w:eastAsia="en-US"/>
        </w:rPr>
        <w:t>TJPR</w:t>
      </w:r>
      <w:proofErr w:type="spellEnd"/>
      <w:r w:rsidRPr="009F5D32">
        <w:rPr>
          <w:rFonts w:eastAsiaTheme="minorHAnsi"/>
          <w:b/>
          <w:bCs/>
          <w:sz w:val="24"/>
          <w:szCs w:val="24"/>
          <w:lang w:eastAsia="en-US"/>
        </w:rPr>
        <w:t xml:space="preserve">. 17ª Câmara Cível. Relator: Desembargador Mario Luiz </w:t>
      </w:r>
      <w:proofErr w:type="spellStart"/>
      <w:r w:rsidRPr="009F5D32">
        <w:rPr>
          <w:rFonts w:eastAsiaTheme="minorHAnsi"/>
          <w:b/>
          <w:bCs/>
          <w:sz w:val="24"/>
          <w:szCs w:val="24"/>
          <w:lang w:eastAsia="en-US"/>
        </w:rPr>
        <w:t>Ramidoff</w:t>
      </w:r>
      <w:proofErr w:type="spellEnd"/>
      <w:r w:rsidRPr="009F5D32">
        <w:rPr>
          <w:rFonts w:eastAsiaTheme="minorHAnsi"/>
          <w:b/>
          <w:bCs/>
          <w:sz w:val="24"/>
          <w:szCs w:val="24"/>
          <w:lang w:eastAsia="en-US"/>
        </w:rPr>
        <w:t>. 0006106-83.2025.8.16.0000. Castro. Data de julgamento: 30-1-2025</w:t>
      </w:r>
      <w:r w:rsidR="00FB5A87">
        <w:rPr>
          <w:rFonts w:eastAsiaTheme="minorHAnsi"/>
          <w:b/>
          <w:bCs/>
          <w:sz w:val="24"/>
          <w:szCs w:val="24"/>
          <w:lang w:eastAsia="en-US"/>
        </w:rPr>
        <w:t>;</w:t>
      </w:r>
    </w:p>
    <w:p w14:paraId="4D7992D0" w14:textId="6900EE1B" w:rsidR="00405AB7" w:rsidRPr="009F5D32" w:rsidRDefault="00405AB7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proofErr w:type="spellStart"/>
      <w:r w:rsidRPr="009F5D32">
        <w:rPr>
          <w:rFonts w:eastAsiaTheme="minorHAnsi"/>
          <w:b/>
          <w:bCs/>
          <w:sz w:val="24"/>
          <w:szCs w:val="24"/>
          <w:lang w:eastAsia="en-US"/>
        </w:rPr>
        <w:t>TJPR</w:t>
      </w:r>
      <w:proofErr w:type="spellEnd"/>
      <w:r w:rsidRPr="009F5D32">
        <w:rPr>
          <w:rFonts w:eastAsiaTheme="minorHAnsi"/>
          <w:b/>
          <w:bCs/>
          <w:sz w:val="24"/>
          <w:szCs w:val="24"/>
          <w:lang w:eastAsia="en-US"/>
        </w:rPr>
        <w:t>. 10ª Câmara Cível. Relatora: Desembargadora Substituta Elizabeth de Fátima Nogueira Calmon de Passos. Agravo interno. 0012716-04.2024.8.16.0000. São José dos Pinhais. Data de julgamento: 15-7-2024</w:t>
      </w:r>
      <w:r w:rsidR="00FB5A87"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4CC906C1" w14:textId="77777777" w:rsidR="00446273" w:rsidRDefault="00446273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14:paraId="690FEF65" w14:textId="5699290F"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68492CBA" w14:textId="5F56795E" w:rsidR="002D2E78" w:rsidRDefault="006C41DC" w:rsidP="002D2E78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Cuida-se de agravo interno interposto </w:t>
      </w:r>
      <w:r w:rsidR="00655599">
        <w:rPr>
          <w:rFonts w:eastAsiaTheme="minorHAnsi"/>
          <w:sz w:val="24"/>
          <w:szCs w:val="24"/>
          <w:lang w:eastAsia="en-US"/>
        </w:rPr>
        <w:t xml:space="preserve">por Banco Santander (Brasil) S. A. em face de Deborah Cristina de Olivera e Eliel de Oliveira, tendo como objeto, </w:t>
      </w:r>
      <w:r w:rsidR="002D2E78">
        <w:rPr>
          <w:rFonts w:eastAsiaTheme="minorHAnsi"/>
          <w:sz w:val="24"/>
          <w:szCs w:val="24"/>
          <w:lang w:eastAsia="en-US"/>
        </w:rPr>
        <w:t>tendo como objeto</w:t>
      </w:r>
      <w:r w:rsidR="007C4AB8">
        <w:rPr>
          <w:rFonts w:eastAsiaTheme="minorHAnsi"/>
          <w:sz w:val="24"/>
          <w:szCs w:val="24"/>
          <w:lang w:eastAsia="en-US"/>
        </w:rPr>
        <w:t xml:space="preserve">, tendo como objeto decisão </w:t>
      </w:r>
      <w:r w:rsidR="00F260E8">
        <w:rPr>
          <w:rFonts w:eastAsiaTheme="minorHAnsi"/>
          <w:sz w:val="24"/>
          <w:szCs w:val="24"/>
          <w:lang w:eastAsia="en-US"/>
        </w:rPr>
        <w:t xml:space="preserve">monocrática que </w:t>
      </w:r>
      <w:r w:rsidR="00AB1428">
        <w:rPr>
          <w:rFonts w:eastAsiaTheme="minorHAnsi"/>
          <w:sz w:val="24"/>
          <w:szCs w:val="24"/>
          <w:lang w:eastAsia="en-US"/>
        </w:rPr>
        <w:t xml:space="preserve">exerceu juízo negativo de admissibilidade recursal de agravo de instrumento, ao fundamento </w:t>
      </w:r>
      <w:r w:rsidR="00655599">
        <w:rPr>
          <w:rFonts w:eastAsiaTheme="minorHAnsi"/>
          <w:sz w:val="24"/>
          <w:szCs w:val="24"/>
          <w:lang w:eastAsia="en-US"/>
        </w:rPr>
        <w:t xml:space="preserve">de supressão de instância </w:t>
      </w:r>
      <w:r w:rsidR="00554F10">
        <w:rPr>
          <w:rFonts w:eastAsiaTheme="minorHAnsi"/>
          <w:sz w:val="24"/>
          <w:szCs w:val="24"/>
          <w:lang w:eastAsia="en-US"/>
        </w:rPr>
        <w:t xml:space="preserve">(evento </w:t>
      </w:r>
      <w:r w:rsidR="007D7E1B">
        <w:rPr>
          <w:rFonts w:eastAsiaTheme="minorHAnsi"/>
          <w:sz w:val="24"/>
          <w:szCs w:val="24"/>
          <w:lang w:eastAsia="en-US"/>
        </w:rPr>
        <w:t>9</w:t>
      </w:r>
      <w:r w:rsidR="00554F10">
        <w:rPr>
          <w:rFonts w:eastAsiaTheme="minorHAnsi"/>
          <w:sz w:val="24"/>
          <w:szCs w:val="24"/>
          <w:lang w:eastAsia="en-US"/>
        </w:rPr>
        <w:t>.1 – AI).</w:t>
      </w:r>
    </w:p>
    <w:p w14:paraId="102C880F" w14:textId="6CA76842" w:rsidR="00BA384E" w:rsidRDefault="00D37A59" w:rsidP="002D2E78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Em suas razões de inconformismo, a ora recorrente sustentou</w:t>
      </w:r>
      <w:r w:rsidR="00CB1429">
        <w:rPr>
          <w:rFonts w:eastAsiaTheme="minorHAnsi"/>
          <w:sz w:val="24"/>
          <w:szCs w:val="24"/>
          <w:lang w:eastAsia="en-US"/>
        </w:rPr>
        <w:t xml:space="preserve">, em síntese, </w:t>
      </w:r>
      <w:r w:rsidR="00BA384E">
        <w:rPr>
          <w:rFonts w:eastAsiaTheme="minorHAnsi"/>
          <w:sz w:val="24"/>
          <w:szCs w:val="24"/>
          <w:lang w:eastAsia="en-US"/>
        </w:rPr>
        <w:t>que os argumentos recursais possuem relação com o conjunto de fundamentos da decisão impugnada</w:t>
      </w:r>
      <w:r w:rsidR="00266138">
        <w:rPr>
          <w:rFonts w:eastAsiaTheme="minorHAnsi"/>
          <w:sz w:val="24"/>
          <w:szCs w:val="24"/>
          <w:lang w:eastAsia="en-US"/>
        </w:rPr>
        <w:t xml:space="preserve"> e que o manejo do agravo de instrumento expressa exercício da ampla defesa e do contraditório (evento 1.1).</w:t>
      </w:r>
    </w:p>
    <w:p w14:paraId="5697DC7D" w14:textId="5E27FF23" w:rsidR="00266138" w:rsidRDefault="00BE4213" w:rsidP="002D2E78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Nas contrarrazões, os recorridos se manifestaram </w:t>
      </w:r>
      <w:r w:rsidR="00363D1B">
        <w:rPr>
          <w:rFonts w:eastAsiaTheme="minorHAnsi"/>
          <w:sz w:val="24"/>
          <w:szCs w:val="24"/>
          <w:lang w:eastAsia="en-US"/>
        </w:rPr>
        <w:t>pelo desprovimento do recurso (evento 10.1).</w:t>
      </w:r>
    </w:p>
    <w:p w14:paraId="22BD59C0" w14:textId="1C2D2812" w:rsidR="004864FF" w:rsidRDefault="0080753B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14:paraId="5528F03E" w14:textId="77777777"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2A7C3843" w14:textId="1EABAEC2" w:rsidR="0012206F" w:rsidRPr="000A1FC8" w:rsidRDefault="0012206F" w:rsidP="0012206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0A1FC8">
        <w:rPr>
          <w:rFonts w:eastAsiaTheme="minorHAnsi"/>
          <w:b/>
          <w:bCs/>
          <w:sz w:val="24"/>
          <w:szCs w:val="24"/>
          <w:lang w:eastAsia="en-US"/>
        </w:rPr>
        <w:t>II – VOTO E SUA FUNDAMENTAÇÃO</w:t>
      </w:r>
    </w:p>
    <w:p w14:paraId="7A873475" w14:textId="57C898AB" w:rsidR="0012206F" w:rsidRPr="0012206F" w:rsidRDefault="0012206F" w:rsidP="0012206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2206F">
        <w:rPr>
          <w:rFonts w:eastAsiaTheme="minorHAnsi"/>
          <w:sz w:val="24"/>
          <w:szCs w:val="24"/>
          <w:lang w:eastAsia="en-US"/>
        </w:rPr>
        <w:t>II.I – DA ADMISSIBILIDADE RECURSAL</w:t>
      </w:r>
    </w:p>
    <w:p w14:paraId="4F6E2854" w14:textId="3292386A" w:rsidR="0012206F" w:rsidRDefault="0012206F" w:rsidP="002D2FA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12206F">
        <w:rPr>
          <w:rFonts w:eastAsiaTheme="minorHAnsi"/>
          <w:sz w:val="24"/>
          <w:szCs w:val="24"/>
          <w:lang w:eastAsia="en-US"/>
        </w:rPr>
        <w:t>Presentes os pressupostos de admissibilidade, conhece-se do recurso de agravo interno interposto.</w:t>
      </w:r>
    </w:p>
    <w:p w14:paraId="4355D70F" w14:textId="77777777" w:rsidR="000A1FC8" w:rsidRDefault="000A1FC8" w:rsidP="002D2FA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6414E0F6" w14:textId="18BBD2ED" w:rsidR="000A1FC8" w:rsidRPr="0012206F" w:rsidRDefault="000A1FC8" w:rsidP="002D2FA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II.II – DA SUPRESSÃO DE INSTÂNCIA</w:t>
      </w:r>
    </w:p>
    <w:p w14:paraId="7DF2FF67" w14:textId="01B63A3B" w:rsidR="00F76BD4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Circunscreve-se a controvérsia recursal à pretensão de reexame de decisão monocrática de não conhecimento de agravo de instrumento, interposto contra decisão </w:t>
      </w:r>
      <w:r w:rsidR="00F76BD4">
        <w:rPr>
          <w:rFonts w:eastAsiaTheme="minorHAnsi"/>
          <w:sz w:val="24"/>
          <w:szCs w:val="24"/>
          <w:lang w:eastAsia="en-US"/>
        </w:rPr>
        <w:t xml:space="preserve">concessiva de tutela de urgência para suspender </w:t>
      </w:r>
      <w:r w:rsidR="00881671">
        <w:rPr>
          <w:rFonts w:eastAsiaTheme="minorHAnsi"/>
          <w:sz w:val="24"/>
          <w:szCs w:val="24"/>
          <w:lang w:eastAsia="en-US"/>
        </w:rPr>
        <w:t>a realização de leilão em procedimento extrajudicial de consolidação da propriedade de bem imóvel em favor do credor fiduciário, sob o fundamento de supressão de instância.</w:t>
      </w:r>
    </w:p>
    <w:p w14:paraId="118AD486" w14:textId="1F8EEFF3" w:rsidR="00881671" w:rsidRDefault="00881671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 despeito dos argumentos recursais, as matérias alegadas no agravo de instrumento, especialmente sobre o envio de notificações sobre a data dos leilões, não foram objeto de apreciação pelo juízo de primeiro grau.</w:t>
      </w:r>
    </w:p>
    <w:p w14:paraId="68434805" w14:textId="0568FFD7" w:rsidR="00881671" w:rsidRDefault="00881671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Com efeito, </w:t>
      </w:r>
      <w:r w:rsidR="001F1EC2">
        <w:rPr>
          <w:rFonts w:eastAsiaTheme="minorHAnsi"/>
          <w:sz w:val="24"/>
          <w:szCs w:val="24"/>
          <w:lang w:eastAsia="en-US"/>
        </w:rPr>
        <w:t xml:space="preserve">os noveis elementos de informação </w:t>
      </w:r>
      <w:r w:rsidR="001F3720">
        <w:rPr>
          <w:rFonts w:eastAsiaTheme="minorHAnsi"/>
          <w:sz w:val="24"/>
          <w:szCs w:val="24"/>
          <w:lang w:eastAsia="en-US"/>
        </w:rPr>
        <w:t>ampliam o âmbito de cognição sobre a caracterização da probabilidade do direito</w:t>
      </w:r>
      <w:r w:rsidR="007E3965">
        <w:rPr>
          <w:rFonts w:eastAsiaTheme="minorHAnsi"/>
          <w:sz w:val="24"/>
          <w:szCs w:val="24"/>
          <w:lang w:eastAsia="en-US"/>
        </w:rPr>
        <w:t xml:space="preserve"> (CPC, art. 300), de modo que sua análise diretamente no segundo grau importaria em violação ao </w:t>
      </w:r>
      <w:r w:rsidR="00F46F09">
        <w:rPr>
          <w:rFonts w:eastAsiaTheme="minorHAnsi"/>
          <w:sz w:val="24"/>
          <w:szCs w:val="24"/>
          <w:lang w:eastAsia="en-US"/>
        </w:rPr>
        <w:t>devido processo legal.</w:t>
      </w:r>
    </w:p>
    <w:p w14:paraId="11E52FFA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Assim, a</w:t>
      </w:r>
      <w:r w:rsidRPr="0077629B">
        <w:rPr>
          <w:rFonts w:eastAsiaTheme="minorHAnsi"/>
          <w:sz w:val="24"/>
          <w:szCs w:val="24"/>
          <w:lang w:eastAsia="en-US"/>
        </w:rPr>
        <w:t xml:space="preserve"> tentativa de trazer tais matérias diretamente à instância recursal, sem prévia apreciação pelo juízo de origem</w:t>
      </w:r>
      <w:r>
        <w:rPr>
          <w:rFonts w:eastAsiaTheme="minorHAnsi"/>
          <w:sz w:val="24"/>
          <w:szCs w:val="24"/>
          <w:lang w:eastAsia="en-US"/>
        </w:rPr>
        <w:t>, configura evidente supressão de instância a ensejar a inadmissibilidade do respectivo recurso.</w:t>
      </w:r>
    </w:p>
    <w:p w14:paraId="206E3F8C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Sobre o tema:</w:t>
      </w:r>
    </w:p>
    <w:p w14:paraId="40889A67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3983244" w14:textId="7D1A4CF4" w:rsidR="00772B8F" w:rsidRPr="007B50FE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7B50FE">
        <w:rPr>
          <w:rFonts w:eastAsiaTheme="minorHAnsi"/>
          <w:lang w:eastAsia="en-US"/>
        </w:rPr>
        <w:t xml:space="preserve">DIREITO CIVIL. DIREITO PROCESSUAL CIVIL. AGRAVO DE INSTRUMENTO. INSURGÊNCIA RECURSAL IMEDIATA. NÃO CONHECIMENTO. QUESTÕES DEDUZIDAS SIMULTANEAMENTE EM SEDE DE CONTESTAÇÃO E AGRAVO DE INSTRUMENTO. </w:t>
      </w:r>
      <w:r w:rsidRPr="007B50FE">
        <w:rPr>
          <w:rFonts w:eastAsiaTheme="minorHAnsi"/>
          <w:b/>
          <w:bCs/>
          <w:lang w:eastAsia="en-US"/>
        </w:rPr>
        <w:t>AUSÊNCIA DE APRECIAÇÃO EM PRIMEIRO GRAU DE JURISDIÇÃO. SUPRESSÃO DE INSTÂNCIA</w:t>
      </w:r>
      <w:r w:rsidRPr="007B50FE">
        <w:rPr>
          <w:rFonts w:eastAsiaTheme="minorHAnsi"/>
          <w:lang w:eastAsia="en-US"/>
        </w:rPr>
        <w:t>. INADMISSIBILIDADE RECURSAL, INC. III DO ART. 932 DA LEI N. 13.105/2015. PRECEDENTES. 1. Na vertente demanda, verifica-se que os fatos, fundamentos e pedidos deduzidos pelo Agravante em sede recursal, sequer, foram apreciados pela douta Magistrada, eis que deduzidos simultaneamente em sede de contestação e em sede recursal, motivo pelo qual, não se afigura legitimamente plausível a devolução de matéria, que, não tenha sido regular e validamente submetida apreciada pelo Órgão Julgador competente, sob pena mesmo da ocorrência de supressão de instância (jurisdicional). 2. Recurso de agravo de instrumento não conhecido. (</w:t>
      </w:r>
      <w:bookmarkStart w:id="0" w:name="_Hlk205562405"/>
      <w:proofErr w:type="spellStart"/>
      <w:r w:rsidRPr="007B50FE">
        <w:rPr>
          <w:rFonts w:eastAsiaTheme="minorHAnsi"/>
          <w:lang w:eastAsia="en-US"/>
        </w:rPr>
        <w:t>TJPR</w:t>
      </w:r>
      <w:proofErr w:type="spellEnd"/>
      <w:r w:rsidRPr="007B50FE">
        <w:rPr>
          <w:rFonts w:eastAsiaTheme="minorHAnsi"/>
          <w:lang w:eastAsia="en-US"/>
        </w:rPr>
        <w:t xml:space="preserve">. 17ª Câmara Cível. Relator: Desembargador Mario Luiz </w:t>
      </w:r>
      <w:proofErr w:type="spellStart"/>
      <w:r w:rsidRPr="007B50FE">
        <w:rPr>
          <w:rFonts w:eastAsiaTheme="minorHAnsi"/>
          <w:lang w:eastAsia="en-US"/>
        </w:rPr>
        <w:t>Ramidoff</w:t>
      </w:r>
      <w:proofErr w:type="spellEnd"/>
      <w:r w:rsidRPr="007B50FE">
        <w:rPr>
          <w:rFonts w:eastAsiaTheme="minorHAnsi"/>
          <w:lang w:eastAsia="en-US"/>
        </w:rPr>
        <w:t>. 0006106-83.2025.8.16.0000. Castro. Data de julgamento: 30-1-2025</w:t>
      </w:r>
      <w:bookmarkEnd w:id="0"/>
      <w:r w:rsidRPr="007B50FE">
        <w:rPr>
          <w:rFonts w:eastAsiaTheme="minorHAnsi"/>
          <w:lang w:eastAsia="en-US"/>
        </w:rPr>
        <w:t>).</w:t>
      </w:r>
    </w:p>
    <w:p w14:paraId="10CD342C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2B572AD1" w14:textId="77777777" w:rsidR="00772B8F" w:rsidRPr="000C55B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Assim, como as razões recursais são incapazes de infirmar o entendimento adotado na decisão vergastada, impositiva é a respectiva manutenção.</w:t>
      </w:r>
    </w:p>
    <w:p w14:paraId="4A125B8F" w14:textId="77777777" w:rsidR="00772B8F" w:rsidRPr="000C55B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Neste sentido:</w:t>
      </w:r>
    </w:p>
    <w:p w14:paraId="3D4F494D" w14:textId="77777777" w:rsidR="00772B8F" w:rsidRPr="000C55B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25BBEC56" w14:textId="77777777" w:rsidR="00772B8F" w:rsidRPr="00A425BB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A425BB">
        <w:rPr>
          <w:rFonts w:eastAsiaTheme="minorHAnsi"/>
          <w:lang w:eastAsia="en-US"/>
        </w:rPr>
        <w:t xml:space="preserve">AGRAVO INTERNO. PLANO DE SAÚDE. </w:t>
      </w:r>
      <w:r w:rsidRPr="00A425BB">
        <w:rPr>
          <w:rFonts w:eastAsiaTheme="minorHAnsi"/>
          <w:b/>
          <w:lang w:eastAsia="en-US"/>
        </w:rPr>
        <w:t>EFEITO SUSPENSIVO INDEFERIDO NO AGRAVO DE INSTRUMENTO. MANUTENÇÃO DA TUTELA CONCEDIDA NA ORIGEM</w:t>
      </w:r>
      <w:r w:rsidRPr="00A425BB">
        <w:rPr>
          <w:rFonts w:eastAsiaTheme="minorHAnsi"/>
          <w:lang w:eastAsia="en-US"/>
        </w:rPr>
        <w:t>. AUTORA DIAGNOSTICADA COM ESCLEROSE MÚLTIPLA. FORNECIMENTO DO MEDICAMENTO “</w:t>
      </w:r>
      <w:proofErr w:type="spellStart"/>
      <w:r w:rsidRPr="00A425BB">
        <w:rPr>
          <w:rFonts w:eastAsiaTheme="minorHAnsi"/>
          <w:lang w:eastAsia="en-US"/>
        </w:rPr>
        <w:t>OFATUMUMABE</w:t>
      </w:r>
      <w:proofErr w:type="spellEnd"/>
      <w:r w:rsidRPr="00A425BB">
        <w:rPr>
          <w:rFonts w:eastAsiaTheme="minorHAnsi"/>
          <w:lang w:eastAsia="en-US"/>
        </w:rPr>
        <w:t xml:space="preserve"> (</w:t>
      </w:r>
      <w:proofErr w:type="spellStart"/>
      <w:r w:rsidRPr="00A425BB">
        <w:rPr>
          <w:rFonts w:eastAsiaTheme="minorHAnsi"/>
          <w:lang w:eastAsia="en-US"/>
        </w:rPr>
        <w:t>KESIMPTA</w:t>
      </w:r>
      <w:proofErr w:type="spellEnd"/>
      <w:r w:rsidRPr="00A425BB">
        <w:rPr>
          <w:rFonts w:eastAsiaTheme="minorHAnsi"/>
          <w:lang w:eastAsia="en-US"/>
        </w:rPr>
        <w:t xml:space="preserve">)”. </w:t>
      </w:r>
      <w:r w:rsidRPr="00A425BB">
        <w:rPr>
          <w:rFonts w:eastAsiaTheme="minorHAnsi"/>
          <w:b/>
          <w:lang w:eastAsia="en-US"/>
        </w:rPr>
        <w:t>AUSÊNCIA DE ARGUMENTOS CAPAZES DE INFIRMAR OS FUNDAMENTOS UTILIZADOS NA DECISÃO MONOCRÁTICA. DECISÃO MANTIDA.</w:t>
      </w:r>
      <w:r w:rsidRPr="00A425BB">
        <w:rPr>
          <w:rFonts w:eastAsiaTheme="minorHAnsi"/>
          <w:lang w:eastAsia="en-US"/>
        </w:rPr>
        <w:t xml:space="preserve"> AGRAVO CONHECIDO E DESPROVIDO. (</w:t>
      </w:r>
      <w:bookmarkStart w:id="1" w:name="_Hlk192694248"/>
      <w:proofErr w:type="spellStart"/>
      <w:r w:rsidRPr="00A425BB">
        <w:rPr>
          <w:rFonts w:eastAsiaTheme="minorHAnsi"/>
          <w:lang w:eastAsia="en-US"/>
        </w:rPr>
        <w:t>TJPR</w:t>
      </w:r>
      <w:proofErr w:type="spellEnd"/>
      <w:r w:rsidRPr="00A425BB">
        <w:rPr>
          <w:rFonts w:eastAsiaTheme="minorHAnsi"/>
          <w:lang w:eastAsia="en-US"/>
        </w:rPr>
        <w:t>. 10ª Câmara Cível. Relatora: Desembargadora Substituta Elizabeth de Fátima Nogueira Calmon de Passos. Agravo interno. 0012716-04.2024.8.16.0000. São José dos Pinhais. Data de julgamento: 15-07-2024</w:t>
      </w:r>
      <w:bookmarkEnd w:id="1"/>
      <w:r w:rsidRPr="00A425BB">
        <w:rPr>
          <w:rFonts w:eastAsiaTheme="minorHAnsi"/>
          <w:lang w:eastAsia="en-US"/>
        </w:rPr>
        <w:t>).</w:t>
      </w:r>
    </w:p>
    <w:p w14:paraId="35665F28" w14:textId="77777777" w:rsidR="00772B8F" w:rsidRPr="000C55B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335D590C" w14:textId="77777777" w:rsidR="00772B8F" w:rsidRPr="000C55B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Afasta-se, pois, o repto recursal.</w:t>
      </w:r>
    </w:p>
    <w:p w14:paraId="1F2E0132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2F09ADA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proofErr w:type="spellStart"/>
      <w:r>
        <w:rPr>
          <w:rFonts w:eastAsiaTheme="minorHAnsi"/>
          <w:sz w:val="24"/>
          <w:szCs w:val="24"/>
          <w:lang w:eastAsia="en-US"/>
        </w:rPr>
        <w:t>II.III</w:t>
      </w:r>
      <w:proofErr w:type="spellEnd"/>
      <w:r>
        <w:rPr>
          <w:rFonts w:eastAsiaTheme="minorHAnsi"/>
          <w:sz w:val="24"/>
          <w:szCs w:val="24"/>
          <w:lang w:eastAsia="en-US"/>
        </w:rPr>
        <w:t xml:space="preserve"> – DA CONCLUSÃO</w:t>
      </w:r>
    </w:p>
    <w:p w14:paraId="2371862C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Pela conjugação das premissas alinhavadas, a conclusão a ser adotada consiste em conhecer e negar provimento ao recurso.</w:t>
      </w:r>
    </w:p>
    <w:p w14:paraId="55350BD1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como voto.</w:t>
      </w:r>
    </w:p>
    <w:p w14:paraId="6F1335DA" w14:textId="77777777" w:rsidR="00772B8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7C71CB03" w14:textId="422829DF" w:rsidR="00772B8F" w:rsidRPr="001D481F" w:rsidRDefault="00772B8F" w:rsidP="00772B8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III – DECISÃO</w:t>
      </w:r>
    </w:p>
    <w:sectPr w:rsidR="00772B8F" w:rsidRPr="001D481F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61191" w14:textId="77777777" w:rsidR="009A574B" w:rsidRDefault="009A574B" w:rsidP="00E57A7E">
      <w:r>
        <w:separator/>
      </w:r>
    </w:p>
  </w:endnote>
  <w:endnote w:type="continuationSeparator" w:id="0">
    <w:p w14:paraId="27C38812" w14:textId="77777777" w:rsidR="009A574B" w:rsidRDefault="009A574B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C926B" w14:textId="77777777" w:rsidR="009A574B" w:rsidRDefault="009A574B" w:rsidP="00E57A7E">
      <w:r>
        <w:separator/>
      </w:r>
    </w:p>
  </w:footnote>
  <w:footnote w:type="continuationSeparator" w:id="0">
    <w:p w14:paraId="39BA7885" w14:textId="77777777" w:rsidR="009A574B" w:rsidRDefault="009A574B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03E45"/>
    <w:rsid w:val="00024198"/>
    <w:rsid w:val="000331F5"/>
    <w:rsid w:val="000347A1"/>
    <w:rsid w:val="0004549D"/>
    <w:rsid w:val="00060160"/>
    <w:rsid w:val="00062DDB"/>
    <w:rsid w:val="000A1FC8"/>
    <w:rsid w:val="000C110C"/>
    <w:rsid w:val="000C55BF"/>
    <w:rsid w:val="000D46B3"/>
    <w:rsid w:val="000F2C57"/>
    <w:rsid w:val="000F6C9C"/>
    <w:rsid w:val="00107194"/>
    <w:rsid w:val="0012206F"/>
    <w:rsid w:val="00132CD6"/>
    <w:rsid w:val="001563CE"/>
    <w:rsid w:val="0016390B"/>
    <w:rsid w:val="00190822"/>
    <w:rsid w:val="001C2847"/>
    <w:rsid w:val="001D481F"/>
    <w:rsid w:val="001F1EC2"/>
    <w:rsid w:val="001F3720"/>
    <w:rsid w:val="00220F14"/>
    <w:rsid w:val="00226FE5"/>
    <w:rsid w:val="0024771F"/>
    <w:rsid w:val="00261A23"/>
    <w:rsid w:val="00266138"/>
    <w:rsid w:val="00291D36"/>
    <w:rsid w:val="002B0582"/>
    <w:rsid w:val="002B21EF"/>
    <w:rsid w:val="002B5F4B"/>
    <w:rsid w:val="002D2E78"/>
    <w:rsid w:val="002D2FAF"/>
    <w:rsid w:val="002F07A2"/>
    <w:rsid w:val="002F3786"/>
    <w:rsid w:val="003044CA"/>
    <w:rsid w:val="00317948"/>
    <w:rsid w:val="00320C1E"/>
    <w:rsid w:val="003506BD"/>
    <w:rsid w:val="00363D1B"/>
    <w:rsid w:val="003855DB"/>
    <w:rsid w:val="00386A28"/>
    <w:rsid w:val="00390406"/>
    <w:rsid w:val="003B0C74"/>
    <w:rsid w:val="003B1C88"/>
    <w:rsid w:val="003C6311"/>
    <w:rsid w:val="003D301D"/>
    <w:rsid w:val="003F2DAD"/>
    <w:rsid w:val="00405AB7"/>
    <w:rsid w:val="00421C6A"/>
    <w:rsid w:val="004238DC"/>
    <w:rsid w:val="004441FC"/>
    <w:rsid w:val="00446273"/>
    <w:rsid w:val="004864FF"/>
    <w:rsid w:val="004A2972"/>
    <w:rsid w:val="004B6B99"/>
    <w:rsid w:val="00505570"/>
    <w:rsid w:val="005366F0"/>
    <w:rsid w:val="00554F10"/>
    <w:rsid w:val="005B6FCD"/>
    <w:rsid w:val="005F46D4"/>
    <w:rsid w:val="00655599"/>
    <w:rsid w:val="006B545C"/>
    <w:rsid w:val="006C41DC"/>
    <w:rsid w:val="00704CE9"/>
    <w:rsid w:val="00706614"/>
    <w:rsid w:val="00706630"/>
    <w:rsid w:val="00737047"/>
    <w:rsid w:val="0074175E"/>
    <w:rsid w:val="00772B8F"/>
    <w:rsid w:val="007A1E72"/>
    <w:rsid w:val="007A4BAB"/>
    <w:rsid w:val="007A60D1"/>
    <w:rsid w:val="007A67D8"/>
    <w:rsid w:val="007B44C7"/>
    <w:rsid w:val="007C1295"/>
    <w:rsid w:val="007C4AB8"/>
    <w:rsid w:val="007D7E1B"/>
    <w:rsid w:val="007E154A"/>
    <w:rsid w:val="007E3965"/>
    <w:rsid w:val="0080753B"/>
    <w:rsid w:val="00816D72"/>
    <w:rsid w:val="00881671"/>
    <w:rsid w:val="00893D7A"/>
    <w:rsid w:val="00895BAE"/>
    <w:rsid w:val="008C7CE9"/>
    <w:rsid w:val="00913B33"/>
    <w:rsid w:val="009A574B"/>
    <w:rsid w:val="009C2C35"/>
    <w:rsid w:val="009C62A0"/>
    <w:rsid w:val="009C73A6"/>
    <w:rsid w:val="009D74D1"/>
    <w:rsid w:val="009F599D"/>
    <w:rsid w:val="009F5D32"/>
    <w:rsid w:val="00A1703D"/>
    <w:rsid w:val="00A25E2D"/>
    <w:rsid w:val="00A61132"/>
    <w:rsid w:val="00AB1428"/>
    <w:rsid w:val="00AC0713"/>
    <w:rsid w:val="00B1627B"/>
    <w:rsid w:val="00B374A3"/>
    <w:rsid w:val="00B40E92"/>
    <w:rsid w:val="00B70073"/>
    <w:rsid w:val="00B73070"/>
    <w:rsid w:val="00B745CF"/>
    <w:rsid w:val="00B850FF"/>
    <w:rsid w:val="00BA384E"/>
    <w:rsid w:val="00BD3F10"/>
    <w:rsid w:val="00BE4213"/>
    <w:rsid w:val="00BE4EEA"/>
    <w:rsid w:val="00BF046F"/>
    <w:rsid w:val="00BF4343"/>
    <w:rsid w:val="00C64155"/>
    <w:rsid w:val="00C84248"/>
    <w:rsid w:val="00C9160D"/>
    <w:rsid w:val="00CB1429"/>
    <w:rsid w:val="00D121E3"/>
    <w:rsid w:val="00D37A59"/>
    <w:rsid w:val="00D57450"/>
    <w:rsid w:val="00D8332F"/>
    <w:rsid w:val="00DA132A"/>
    <w:rsid w:val="00DA36D7"/>
    <w:rsid w:val="00DC38BA"/>
    <w:rsid w:val="00DC7F1A"/>
    <w:rsid w:val="00DD3EC8"/>
    <w:rsid w:val="00E57A7E"/>
    <w:rsid w:val="00E90A50"/>
    <w:rsid w:val="00EB3DFF"/>
    <w:rsid w:val="00EF1C27"/>
    <w:rsid w:val="00EF3D8C"/>
    <w:rsid w:val="00F260E8"/>
    <w:rsid w:val="00F33B63"/>
    <w:rsid w:val="00F46F09"/>
    <w:rsid w:val="00F62EFD"/>
    <w:rsid w:val="00F74E7E"/>
    <w:rsid w:val="00F76BD4"/>
    <w:rsid w:val="00FB5A87"/>
    <w:rsid w:val="00FC4573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A37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8AF049-6A8E-490E-A321-4C46C446A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5D859F-DCCE-4BBC-935F-D5577120E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E91D7D-2759-4504-96BB-A9FB997BE4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729</Words>
  <Characters>4359</Characters>
  <Application>Microsoft Office Word</Application>
  <DocSecurity>0</DocSecurity>
  <Lines>101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114</cp:revision>
  <dcterms:created xsi:type="dcterms:W3CDTF">2023-06-26T17:41:00Z</dcterms:created>
  <dcterms:modified xsi:type="dcterms:W3CDTF">2025-08-12T19:48:00Z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304800</vt:r8>
  </property>
</Properties>
</file>