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CFD" w:rsidRPr="00530FD3" w:rsidRDefault="00C85CFD" w:rsidP="00C85CFD">
      <w:pPr>
        <w:pStyle w:val="PargrafodaLista"/>
        <w:ind w:left="0" w:firstLine="0"/>
        <w:contextualSpacing w:val="0"/>
        <w:rPr>
          <w:b/>
          <w:szCs w:val="24"/>
        </w:rPr>
      </w:pPr>
      <w:r w:rsidRPr="00530FD3">
        <w:rPr>
          <w:b/>
          <w:szCs w:val="24"/>
        </w:rPr>
        <w:t>PENAL. PROCESSUAL PENAL. REVISÃO CRIMINAL. PRETENSÃO DE REEXAME DE FATOS E PROVAS. ALEGAÇÃO DE INSUFICIÊNCIA DO CONJUNTO PROBATÓRIO PARA CONDENAÇÃO. AUSÊNCIA DE CONTRARIEDADE À EVIDÊNCIA DOS AUTOS. PRECEDENTES. REVISÃO CRIMINAL NÃO ADMITIDA.</w:t>
      </w:r>
    </w:p>
    <w:p w:rsidR="00530FD3" w:rsidRPr="00530FD3" w:rsidRDefault="00530FD3" w:rsidP="00530FD3">
      <w:pPr>
        <w:ind w:firstLine="0"/>
        <w:rPr>
          <w:b/>
          <w:szCs w:val="24"/>
        </w:rPr>
      </w:pPr>
      <w:r w:rsidRPr="00530FD3">
        <w:rPr>
          <w:b/>
          <w:szCs w:val="24"/>
        </w:rPr>
        <w:t xml:space="preserve">1. </w:t>
      </w:r>
      <w:r w:rsidR="00C85CFD" w:rsidRPr="00530FD3">
        <w:rPr>
          <w:b/>
          <w:szCs w:val="24"/>
        </w:rPr>
        <w:t>A pretensão de revisão</w:t>
      </w:r>
      <w:r w:rsidRPr="00530FD3">
        <w:rPr>
          <w:b/>
          <w:szCs w:val="24"/>
        </w:rPr>
        <w:t xml:space="preserve"> do conjunto fático-probatório e refazimento da dosimetria, fora das hipóteses do artigo 621, do Código de Processo Penal, não justifica o uso de revisão </w:t>
      </w:r>
      <w:proofErr w:type="spellStart"/>
      <w:r w:rsidRPr="00530FD3">
        <w:rPr>
          <w:b/>
          <w:szCs w:val="24"/>
        </w:rPr>
        <w:t>criminial</w:t>
      </w:r>
      <w:proofErr w:type="spellEnd"/>
      <w:r w:rsidRPr="00530FD3">
        <w:rPr>
          <w:b/>
          <w:szCs w:val="24"/>
        </w:rPr>
        <w:t>.</w:t>
      </w:r>
    </w:p>
    <w:p w:rsidR="00C85CFD" w:rsidRPr="00166B00" w:rsidRDefault="00530FD3" w:rsidP="00C85CFD">
      <w:pPr>
        <w:ind w:firstLine="0"/>
        <w:rPr>
          <w:b/>
          <w:szCs w:val="24"/>
        </w:rPr>
      </w:pPr>
      <w:r w:rsidRPr="00530FD3">
        <w:rPr>
          <w:b/>
          <w:szCs w:val="24"/>
        </w:rPr>
        <w:t>2.</w:t>
      </w:r>
      <w:r w:rsidR="00C85CFD" w:rsidRPr="00530FD3">
        <w:rPr>
          <w:b/>
          <w:szCs w:val="24"/>
        </w:rPr>
        <w:t xml:space="preserve"> Revisão criminal não admitida.</w:t>
      </w:r>
    </w:p>
    <w:p w:rsidR="00AA28DF" w:rsidRDefault="00AA28DF" w:rsidP="00AA28DF">
      <w:pPr>
        <w:pStyle w:val="PargrafodaLista"/>
        <w:ind w:left="0"/>
        <w:contextualSpacing w:val="0"/>
        <w:rPr>
          <w:b/>
        </w:rPr>
      </w:pPr>
    </w:p>
    <w:p w:rsidR="00C85CFD" w:rsidRDefault="00C85CFD" w:rsidP="00C85CFD">
      <w:pPr>
        <w:pStyle w:val="PargrafodaLista"/>
        <w:ind w:left="0"/>
        <w:contextualSpacing w:val="0"/>
        <w:rPr>
          <w:b/>
        </w:rPr>
      </w:pPr>
      <w:r>
        <w:rPr>
          <w:b/>
        </w:rPr>
        <w:t>I – RELATÓRIO</w:t>
      </w:r>
    </w:p>
    <w:p w:rsidR="000F581F" w:rsidRDefault="00C85CFD" w:rsidP="00C85CFD">
      <w:pPr>
        <w:pStyle w:val="PargrafodaLista"/>
        <w:ind w:left="0"/>
        <w:contextualSpacing w:val="0"/>
      </w:pPr>
      <w:r>
        <w:t>Cuida-se de revisão criminal</w:t>
      </w:r>
      <w:r w:rsidR="000F581F">
        <w:t xml:space="preserve"> ajuizada por Clayton Jose de Lima, que tem como objeto sentença condenatória proferida pelo juízo da Vara Criminal de </w:t>
      </w:r>
      <w:proofErr w:type="spellStart"/>
      <w:r w:rsidR="000F581F">
        <w:t>Catanduvas</w:t>
      </w:r>
      <w:proofErr w:type="spellEnd"/>
      <w:r w:rsidR="000F581F">
        <w:t xml:space="preserve"> e confirmada pela 4ª Câmara Criminal do Tribunal de Justiça do Paraná, que o condenou, pela prática dos crimes previstos nos artigos 33 e 35, da Lei nº 11.343 de 2006 (evento 455.1 – autos de origem).</w:t>
      </w:r>
    </w:p>
    <w:p w:rsidR="00530FD3" w:rsidRDefault="000F581F" w:rsidP="00530FD3">
      <w:pPr>
        <w:pStyle w:val="PargrafodaLista"/>
        <w:ind w:left="0"/>
        <w:contextualSpacing w:val="0"/>
      </w:pPr>
      <w:r>
        <w:t>Argumenta o requerente, em apert</w:t>
      </w:r>
      <w:r w:rsidR="00530FD3">
        <w:t>ada síntese: a) inexistência de dolo de associação para prática de tráfico de entorpecentes; b) desproporcionalidade na majoração da pena-base pela quantidade de entorpecentes (evento 1.1).</w:t>
      </w:r>
    </w:p>
    <w:p w:rsidR="00C85CFD" w:rsidRDefault="00C85CFD" w:rsidP="00C85CFD">
      <w:pPr>
        <w:pStyle w:val="PargrafodaLista"/>
        <w:ind w:left="0"/>
        <w:contextualSpacing w:val="0"/>
      </w:pPr>
      <w:r>
        <w:t>Opinou a Procuradoria-Geral de Justiça pelo não conhecimento da ação (evento 1</w:t>
      </w:r>
      <w:r w:rsidR="00530FD3">
        <w:t>5</w:t>
      </w:r>
      <w:r>
        <w:t>.1).</w:t>
      </w:r>
    </w:p>
    <w:p w:rsidR="00C85CFD" w:rsidRDefault="00C85CFD" w:rsidP="00C85CFD">
      <w:pPr>
        <w:pStyle w:val="PargrafodaLista"/>
        <w:ind w:left="0"/>
        <w:contextualSpacing w:val="0"/>
      </w:pPr>
      <w:r>
        <w:t>É o necessário relato.</w:t>
      </w:r>
    </w:p>
    <w:p w:rsidR="00C85CFD" w:rsidRDefault="00C85CFD" w:rsidP="00C85CFD">
      <w:pPr>
        <w:pStyle w:val="PargrafodaLista"/>
        <w:ind w:left="0"/>
        <w:contextualSpacing w:val="0"/>
      </w:pPr>
    </w:p>
    <w:p w:rsidR="00C85CFD" w:rsidRDefault="00C85CFD" w:rsidP="00C85CFD">
      <w:pPr>
        <w:pStyle w:val="PargrafodaLista"/>
        <w:ind w:left="0"/>
        <w:contextualSpacing w:val="0"/>
        <w:rPr>
          <w:b/>
        </w:rPr>
      </w:pPr>
      <w:bookmarkStart w:id="0" w:name="_GoBack"/>
      <w:r>
        <w:rPr>
          <w:b/>
        </w:rPr>
        <w:t>II – VOTO E SUA FUNDAMENTAÇÃO</w:t>
      </w:r>
    </w:p>
    <w:p w:rsidR="00C85CFD" w:rsidRDefault="00C85CFD" w:rsidP="00C85CFD">
      <w:pPr>
        <w:pStyle w:val="PargrafodaLista"/>
        <w:ind w:left="0"/>
        <w:contextualSpacing w:val="0"/>
      </w:pPr>
      <w:proofErr w:type="spellStart"/>
      <w:r>
        <w:t>II.I</w:t>
      </w:r>
      <w:proofErr w:type="spellEnd"/>
      <w:r>
        <w:t xml:space="preserve"> – DO JUÍZO DE ADMISSIBILIDADE</w:t>
      </w:r>
    </w:p>
    <w:p w:rsidR="00530FD3" w:rsidRDefault="00C85CFD" w:rsidP="00C85CFD">
      <w:pPr>
        <w:pStyle w:val="PargrafodaLista"/>
        <w:ind w:left="0"/>
        <w:contextualSpacing w:val="0"/>
      </w:pPr>
      <w:r>
        <w:lastRenderedPageBreak/>
        <w:t xml:space="preserve">Cinge-se o objeto da demanda </w:t>
      </w:r>
      <w:r w:rsidR="00530FD3">
        <w:t>à arguição de insuficiência de prova sobre o elemento subjetivo do crime de associação para o tráfico e desproporcionalidade na dosimetria da pena aplicada ao crime de tráfico de entorpecentes.</w:t>
      </w:r>
    </w:p>
    <w:p w:rsidR="00C85CFD" w:rsidRDefault="00C85CFD" w:rsidP="00C85CFD">
      <w:pPr>
        <w:pStyle w:val="PargrafodaLista"/>
        <w:ind w:left="0"/>
        <w:contextualSpacing w:val="0"/>
      </w:pPr>
      <w:r>
        <w:t>O pleito, contudo, não se enquadra em nenhuma das hipóteses de admissão da revisão criminal, previstas no artigo 621, do Código de Processo Penal, que devem ser interpretadas de maneira restritiva, em homenagem à imutabilidade da coisa julgada.</w:t>
      </w:r>
    </w:p>
    <w:p w:rsidR="00C85CFD" w:rsidRDefault="00C85CFD" w:rsidP="00C85CFD">
      <w:pPr>
        <w:pStyle w:val="PargrafodaLista"/>
        <w:ind w:left="0"/>
        <w:contextualSpacing w:val="0"/>
      </w:pPr>
      <w:r>
        <w:t>A esse respeito:</w:t>
      </w:r>
    </w:p>
    <w:p w:rsidR="00C85CFD" w:rsidRPr="00D32C94" w:rsidRDefault="00C85CFD" w:rsidP="00C85CFD">
      <w:pPr>
        <w:pStyle w:val="PargrafodaLista"/>
        <w:spacing w:before="600" w:after="600"/>
        <w:ind w:left="2268" w:firstLine="0"/>
        <w:contextualSpacing w:val="0"/>
        <w:rPr>
          <w:sz w:val="20"/>
        </w:rPr>
      </w:pPr>
      <w:r w:rsidRPr="00D32C94">
        <w:rPr>
          <w:sz w:val="20"/>
        </w:rPr>
        <w:t xml:space="preserve">REVISÃO CRIMINAL. MATÉRIA PENAL. HIPÓTESES DE CABIMENTO TAXATIVAS.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2. A revisão criminal, instrumento processual posto à disposição do condenado, tem como finalidade precípua conciliar, de um lado, a exigência de juridicidade da prestação jurisdicional e, de outro, a necessária segurança jurídica decorrente dos pronunciamentos emanados do Estado-Juiz, mediante observância de hipóteses de cabimento taxativamente previstas no ordenamento jurídico e que traduzam situações efetivamente graves que, em tese, possam autorizar a excepcional desconstituição da coisa julgada material.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fracionário desta Suprema Corte, a medida revisional também não funciona como ferramenta processual apta a inaugurar a jurisdição do colegiado maior como forma de contornar o não preenchimento dos requisitos impostos pela jurisprudência do STF ao cabimento dos embargos infringentes. 5. Segundo a firme jurisprudência desta Suprema Corte, a dosimetria da pena não se subordina à observância de rígidos esquemas ou regras aritméticas, assegurando-se ao competente órgão julgador certa discricionariedade no dimensionamento da resposta penal. Também inexiste correspondência </w:t>
      </w:r>
      <w:r w:rsidRPr="00D32C94">
        <w:rPr>
          <w:sz w:val="20"/>
        </w:rPr>
        <w:lastRenderedPageBreak/>
        <w:t xml:space="preserve">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demonstração da voluntariedade e pessoalidade da reparação do dano. 7. O 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 (STF - </w:t>
      </w:r>
      <w:proofErr w:type="spellStart"/>
      <w:r w:rsidRPr="00D32C94">
        <w:rPr>
          <w:sz w:val="20"/>
        </w:rPr>
        <w:t>RvC</w:t>
      </w:r>
      <w:proofErr w:type="spellEnd"/>
      <w:r w:rsidRPr="00D32C94">
        <w:rPr>
          <w:sz w:val="20"/>
        </w:rPr>
        <w:t xml:space="preserve">: 5475 AM - AMAZONAS 0081195-88.2018.1.00.0000, Relator: Min. EDSON </w:t>
      </w:r>
      <w:proofErr w:type="spellStart"/>
      <w:r w:rsidRPr="00D32C94">
        <w:rPr>
          <w:sz w:val="20"/>
        </w:rPr>
        <w:t>FACHIN</w:t>
      </w:r>
      <w:proofErr w:type="spellEnd"/>
      <w:r w:rsidRPr="00D32C94">
        <w:rPr>
          <w:sz w:val="20"/>
        </w:rPr>
        <w:t xml:space="preserve">, Data de Julgamento: 06/11/2019, Tribunal Pleno, Data de Publicação: </w:t>
      </w:r>
      <w:proofErr w:type="spellStart"/>
      <w:r w:rsidRPr="00D32C94">
        <w:rPr>
          <w:sz w:val="20"/>
        </w:rPr>
        <w:t>DJe</w:t>
      </w:r>
      <w:proofErr w:type="spellEnd"/>
      <w:r w:rsidRPr="00D32C94">
        <w:rPr>
          <w:sz w:val="20"/>
        </w:rPr>
        <w:t>-089 15-04-2020).</w:t>
      </w:r>
    </w:p>
    <w:p w:rsidR="00C85CFD" w:rsidRDefault="00C85CFD" w:rsidP="00C85CFD">
      <w:pPr>
        <w:pStyle w:val="PargrafodaLista"/>
        <w:ind w:left="0"/>
        <w:contextualSpacing w:val="0"/>
      </w:pPr>
      <w:r>
        <w:t>No caso concreto, a alegação de fragilidade ou insuficiência da prova dos autos não legitima a admissão da revisão criminal.</w:t>
      </w:r>
    </w:p>
    <w:p w:rsidR="00C85CFD" w:rsidRDefault="00C85CFD" w:rsidP="00C85CFD">
      <w:pPr>
        <w:pStyle w:val="PargrafodaLista"/>
        <w:ind w:left="0"/>
        <w:contextualSpacing w:val="0"/>
      </w:pPr>
      <w:r>
        <w:t>Em interpretação lógico-dedutiva do dispositivo legal em questão, a hipótese de contrariedade da condenação à evidência dos autos não contempla o exame de suficiência (CPP, art. 622, I).</w:t>
      </w:r>
    </w:p>
    <w:p w:rsidR="00C85CFD" w:rsidRDefault="00C85CFD" w:rsidP="00C85CFD">
      <w:pPr>
        <w:pStyle w:val="PargrafodaLista"/>
        <w:ind w:left="0"/>
        <w:contextualSpacing w:val="0"/>
      </w:pPr>
      <w:r>
        <w:t>A pretensão de reexame do conjunto fático-probatório releva evidente propósito de utilização da revisão como sucedâneo recursal, técnica processual não admitida pela jurisprudência pátria.</w:t>
      </w:r>
    </w:p>
    <w:p w:rsidR="00C85CFD" w:rsidRDefault="00C85CFD" w:rsidP="00C85CFD">
      <w:pPr>
        <w:pStyle w:val="PargrafodaLista"/>
        <w:ind w:left="0"/>
        <w:contextualSpacing w:val="0"/>
      </w:pPr>
      <w:r>
        <w:t>Sobre o tema:</w:t>
      </w:r>
    </w:p>
    <w:p w:rsidR="00C85CFD" w:rsidRPr="00ED6401" w:rsidRDefault="00C85CFD" w:rsidP="00C85CFD">
      <w:pPr>
        <w:pStyle w:val="PargrafodaLista"/>
        <w:spacing w:before="600" w:after="600"/>
        <w:ind w:left="2268" w:firstLine="0"/>
        <w:contextualSpacing w:val="0"/>
        <w:rPr>
          <w:sz w:val="20"/>
        </w:rPr>
      </w:pPr>
      <w:r w:rsidRPr="00ED6401">
        <w:rPr>
          <w:sz w:val="20"/>
        </w:rPr>
        <w:t>PROCESSUAL PENAL. AGRAVO REGIMENTAL EM REVISÃO CRIMINAL. ART. 621, I, DO CPP. APLICAÇÃO DO ART. 33, §4º, DA LEI 11.343/06. UTILIZAÇÃO DA VIA COMO RECURSO. NÃO CABIMENTO. REVISÃO CRIMINAL JULGADA IMPROCEDENTE. AGRAVO DESPROVIDO.</w:t>
      </w:r>
      <w:r>
        <w:rPr>
          <w:sz w:val="20"/>
        </w:rPr>
        <w:t xml:space="preserve"> </w:t>
      </w:r>
      <w:r w:rsidRPr="00ED6401">
        <w:rPr>
          <w:sz w:val="20"/>
        </w:rPr>
        <w:t xml:space="preserve">1. "Superior Tribunal de Justiça pacificou o entendimento no sentido do não cabimento da revisão criminal quando utilizada como nova apelação, com vista ao mero reexame de fatos e provas, não se verificando </w:t>
      </w:r>
      <w:r w:rsidRPr="00ED6401">
        <w:rPr>
          <w:sz w:val="20"/>
        </w:rPr>
        <w:lastRenderedPageBreak/>
        <w:t>hipótese de contrariedade ao texto expresso da lei penal ou à evidência dos autos, consoante previsão do art. 621, I, do CPP" (</w:t>
      </w:r>
      <w:proofErr w:type="spellStart"/>
      <w:r w:rsidRPr="00ED6401">
        <w:rPr>
          <w:sz w:val="20"/>
        </w:rPr>
        <w:t>AgRg</w:t>
      </w:r>
      <w:proofErr w:type="spellEnd"/>
      <w:r w:rsidRPr="00ED6401">
        <w:rPr>
          <w:sz w:val="20"/>
        </w:rPr>
        <w:t xml:space="preserve"> no </w:t>
      </w:r>
      <w:proofErr w:type="spellStart"/>
      <w:r w:rsidRPr="00ED6401">
        <w:rPr>
          <w:sz w:val="20"/>
        </w:rPr>
        <w:t>REsp</w:t>
      </w:r>
      <w:proofErr w:type="spellEnd"/>
      <w:r w:rsidRPr="00ED6401">
        <w:rPr>
          <w:sz w:val="20"/>
        </w:rPr>
        <w:t xml:space="preserve"> n. 1.781.148/RJ, Ministro Joel Ilan </w:t>
      </w:r>
      <w:proofErr w:type="spellStart"/>
      <w:r w:rsidRPr="00ED6401">
        <w:rPr>
          <w:sz w:val="20"/>
        </w:rPr>
        <w:t>Paciornik</w:t>
      </w:r>
      <w:proofErr w:type="spellEnd"/>
      <w:r w:rsidRPr="00ED6401">
        <w:rPr>
          <w:sz w:val="20"/>
        </w:rPr>
        <w:t xml:space="preserve">, Quinta Turma, </w:t>
      </w:r>
      <w:proofErr w:type="spellStart"/>
      <w:r w:rsidRPr="00ED6401">
        <w:rPr>
          <w:sz w:val="20"/>
        </w:rPr>
        <w:t>DJe</w:t>
      </w:r>
      <w:proofErr w:type="spellEnd"/>
      <w:r w:rsidRPr="00ED6401">
        <w:rPr>
          <w:sz w:val="20"/>
        </w:rPr>
        <w:t xml:space="preserve"> 18/10/2019).</w:t>
      </w:r>
      <w:r>
        <w:rPr>
          <w:sz w:val="20"/>
        </w:rPr>
        <w:t xml:space="preserve"> </w:t>
      </w:r>
      <w:r w:rsidRPr="00ED6401">
        <w:rPr>
          <w:sz w:val="20"/>
        </w:rPr>
        <w:t>2. O fato de corréus terem sido beneficiados pelo "tráfico privilegiado" (art. 33, §4º, da Lei de Drogas) não implica necessária extensão a todos os envolvidos no fato delitivo.</w:t>
      </w:r>
      <w:r>
        <w:rPr>
          <w:sz w:val="20"/>
        </w:rPr>
        <w:t xml:space="preserve"> </w:t>
      </w:r>
      <w:r w:rsidRPr="00ED6401">
        <w:rPr>
          <w:sz w:val="20"/>
        </w:rPr>
        <w:t>3</w:t>
      </w:r>
      <w:r>
        <w:rPr>
          <w:sz w:val="20"/>
        </w:rPr>
        <w:t xml:space="preserve">. Agravo regimental desprovido. </w:t>
      </w:r>
      <w:r w:rsidRPr="00ED6401">
        <w:rPr>
          <w:sz w:val="20"/>
        </w:rPr>
        <w:t>(</w:t>
      </w:r>
      <w:proofErr w:type="spellStart"/>
      <w:r w:rsidRPr="00ED6401">
        <w:rPr>
          <w:sz w:val="20"/>
        </w:rPr>
        <w:t>AgRg</w:t>
      </w:r>
      <w:proofErr w:type="spellEnd"/>
      <w:r w:rsidRPr="00ED6401">
        <w:rPr>
          <w:sz w:val="20"/>
        </w:rPr>
        <w:t xml:space="preserve"> na </w:t>
      </w:r>
      <w:proofErr w:type="spellStart"/>
      <w:r w:rsidRPr="00ED6401">
        <w:rPr>
          <w:sz w:val="20"/>
        </w:rPr>
        <w:t>RvCr</w:t>
      </w:r>
      <w:proofErr w:type="spellEnd"/>
      <w:r w:rsidRPr="00ED6401">
        <w:rPr>
          <w:sz w:val="20"/>
        </w:rPr>
        <w:t xml:space="preserve"> n. 5.735/DF, relator Ministro Ribeiro Dantas, Terceira Seção, julgado em 11/5/2022, </w:t>
      </w:r>
      <w:proofErr w:type="spellStart"/>
      <w:r w:rsidRPr="00ED6401">
        <w:rPr>
          <w:sz w:val="20"/>
        </w:rPr>
        <w:t>DJe</w:t>
      </w:r>
      <w:proofErr w:type="spellEnd"/>
      <w:r w:rsidRPr="00ED6401">
        <w:rPr>
          <w:sz w:val="20"/>
        </w:rPr>
        <w:t xml:space="preserve"> de 16/5/2022.).</w:t>
      </w:r>
    </w:p>
    <w:p w:rsidR="00530FD3" w:rsidRDefault="00530FD3" w:rsidP="00C85CFD">
      <w:pPr>
        <w:pStyle w:val="PargrafodaLista"/>
        <w:ind w:left="0"/>
        <w:contextualSpacing w:val="0"/>
      </w:pPr>
      <w:r>
        <w:t xml:space="preserve">Na mesma toada, a pretensão de redimensionamento da </w:t>
      </w:r>
      <w:r w:rsidR="00C112ED">
        <w:t>pena</w:t>
      </w:r>
      <w:r>
        <w:t xml:space="preserve"> não decorre de afronta a texto de lei ou prova dos autos, de modo que a irresignação defensiva, já examinada e afastada por ocasião do julgamento de apelação criminal (evento 50.1 – apelação criminal), não satisfaz o pressuposto processual específico da revisão criminal.</w:t>
      </w:r>
    </w:p>
    <w:p w:rsidR="00C85CFD" w:rsidRDefault="00C85CFD" w:rsidP="00C85CFD">
      <w:pPr>
        <w:pStyle w:val="PargrafodaLista"/>
        <w:ind w:left="0"/>
        <w:contextualSpacing w:val="0"/>
      </w:pPr>
      <w:r>
        <w:t>Nessas condições, o não conhecimento do feito releva-se impositivo.</w:t>
      </w:r>
    </w:p>
    <w:p w:rsidR="00C85CFD" w:rsidRDefault="00C85CFD" w:rsidP="00C85CFD">
      <w:pPr>
        <w:pStyle w:val="PargrafodaLista"/>
        <w:ind w:left="0"/>
        <w:contextualSpacing w:val="0"/>
      </w:pPr>
    </w:p>
    <w:p w:rsidR="00C85CFD" w:rsidRDefault="00C85CFD" w:rsidP="00C85CFD">
      <w:pPr>
        <w:pStyle w:val="PargrafodaLista"/>
        <w:ind w:left="0"/>
        <w:contextualSpacing w:val="0"/>
      </w:pPr>
      <w:proofErr w:type="spellStart"/>
      <w:r>
        <w:t>II.II</w:t>
      </w:r>
      <w:proofErr w:type="spellEnd"/>
      <w:r>
        <w:t xml:space="preserve"> – DA CONCLUSÃO</w:t>
      </w:r>
    </w:p>
    <w:p w:rsidR="00C85CFD" w:rsidRDefault="00C85CFD" w:rsidP="00C85CFD">
      <w:pPr>
        <w:pStyle w:val="PargrafodaLista"/>
        <w:ind w:left="0"/>
        <w:contextualSpacing w:val="0"/>
      </w:pPr>
      <w:r>
        <w:t>Pela conjugação das premissas deduzidas, a conclusão a ser adota consiste em inadmitir a revisão criminal.</w:t>
      </w:r>
    </w:p>
    <w:p w:rsidR="00C85CFD" w:rsidRDefault="00C85CFD" w:rsidP="00C85CFD">
      <w:pPr>
        <w:pStyle w:val="PargrafodaLista"/>
        <w:ind w:left="0"/>
        <w:contextualSpacing w:val="0"/>
      </w:pPr>
      <w:r>
        <w:t>É como voto.</w:t>
      </w:r>
    </w:p>
    <w:bookmarkEnd w:id="0"/>
    <w:p w:rsidR="00C85CFD" w:rsidRDefault="00C85CFD" w:rsidP="00C85CFD">
      <w:pPr>
        <w:pStyle w:val="PargrafodaLista"/>
        <w:ind w:left="0"/>
        <w:contextualSpacing w:val="0"/>
      </w:pPr>
    </w:p>
    <w:p w:rsidR="00AA28DF" w:rsidRPr="00AA28DF" w:rsidRDefault="00C85CFD" w:rsidP="00C85CFD">
      <w:pPr>
        <w:pStyle w:val="PargrafodaLista"/>
        <w:ind w:left="0"/>
        <w:contextualSpacing w:val="0"/>
        <w:rPr>
          <w:b/>
        </w:rPr>
      </w:pPr>
      <w:proofErr w:type="spellStart"/>
      <w:r>
        <w:rPr>
          <w:b/>
        </w:rPr>
        <w:t>III</w:t>
      </w:r>
      <w:proofErr w:type="spellEnd"/>
      <w:r>
        <w:rPr>
          <w:b/>
        </w:rPr>
        <w:t xml:space="preserve"> –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51D235C1"/>
    <w:multiLevelType w:val="hybridMultilevel"/>
    <w:tmpl w:val="1F28CD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F581F"/>
    <w:rsid w:val="00165C47"/>
    <w:rsid w:val="00530FD3"/>
    <w:rsid w:val="00672942"/>
    <w:rsid w:val="00877419"/>
    <w:rsid w:val="00AA28DF"/>
    <w:rsid w:val="00AE47D1"/>
    <w:rsid w:val="00C112ED"/>
    <w:rsid w:val="00C85C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C472"/>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4E22A1-F46B-4583-822B-DDC10CBBF47A}"/>
</file>

<file path=customXml/itemProps2.xml><?xml version="1.0" encoding="utf-8"?>
<ds:datastoreItem xmlns:ds="http://schemas.openxmlformats.org/officeDocument/2006/customXml" ds:itemID="{AEC99556-29F4-460C-AE68-C58430E406DD}"/>
</file>

<file path=customXml/itemProps3.xml><?xml version="1.0" encoding="utf-8"?>
<ds:datastoreItem xmlns:ds="http://schemas.openxmlformats.org/officeDocument/2006/customXml" ds:itemID="{26745C2A-AE04-4297-AA5D-D828644D63FF}"/>
</file>

<file path=docProps/app.xml><?xml version="1.0" encoding="utf-8"?>
<Properties xmlns="http://schemas.openxmlformats.org/officeDocument/2006/extended-properties" xmlns:vt="http://schemas.openxmlformats.org/officeDocument/2006/docPropsVTypes">
  <Template>Normal</Template>
  <TotalTime>38</TotalTime>
  <Pages>4</Pages>
  <Words>1094</Words>
  <Characters>5912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2024-03-21T21:25:00Z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350800</vt:r8>
  </property>
</Properties>
</file>