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68F5" w14:textId="6C5596A9" w:rsidR="006E2A0A" w:rsidRPr="006E2A0A" w:rsidRDefault="007B50FE" w:rsidP="00584CF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DIREITO CIVIL E PROCESSUAL CIVIL.</w:t>
      </w:r>
      <w:r w:rsidR="00584CFA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sz w:val="24"/>
          <w:szCs w:val="24"/>
          <w:lang w:eastAsia="en-US"/>
        </w:rPr>
        <w:t>AGRAVO INTERNO.</w:t>
      </w:r>
      <w:r w:rsidR="00584CFA">
        <w:rPr>
          <w:rFonts w:eastAsiaTheme="minorHAnsi"/>
          <w:b/>
          <w:bCs/>
          <w:sz w:val="24"/>
          <w:szCs w:val="24"/>
          <w:lang w:eastAsia="en-US"/>
        </w:rPr>
        <w:t xml:space="preserve"> BUSCA E APREENSÃO. NÃO CONHECIMENTO. AGRAVO DE INSTRUMENTO. SUPRESSÃO DE INSTÂNCIA.</w:t>
      </w:r>
    </w:p>
    <w:p w14:paraId="5B4F5EB0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0EF05E0E" w14:textId="03ACD014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Agravo de instrumento interposto contra decisão liminar que deferiu pedido de busca e apreensão, nos termos do Decreto-Lei n. 911/1969. O recorrente suscita matérias de mérito que não foram objeto da decisão agravada.</w:t>
      </w:r>
    </w:p>
    <w:p w14:paraId="365509F1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776B27A2" w14:textId="67FD79DB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Possibilidade de conhecimento do agravo de instrumento diante da ausência de enfrentamento das matérias suscitadas na decisão recorrida.</w:t>
      </w:r>
    </w:p>
    <w:p w14:paraId="750837BF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1D9D11CF" w14:textId="20556014" w:rsidR="00CE09A1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O agravo de instrumento não pode ser conhecido quando as matérias nele suscitadas não foram objeto de apreciação pela decisão recorrida</w:t>
      </w:r>
      <w:r w:rsidR="00CE09A1">
        <w:rPr>
          <w:rFonts w:eastAsiaTheme="minorHAnsi"/>
          <w:b/>
          <w:bCs/>
          <w:sz w:val="24"/>
          <w:szCs w:val="24"/>
          <w:lang w:eastAsia="en-US"/>
        </w:rPr>
        <w:t>, sob pena de afronta ao devido processo legal.</w:t>
      </w:r>
    </w:p>
    <w:p w14:paraId="489A38B4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5F7E1A98" w14:textId="4A6A8BF6" w:rsidR="006E2A0A" w:rsidRPr="006E2A0A" w:rsidRDefault="00CE09A1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03CF24D2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V. LEGISLAÇÃO E JURISPRUDÊNCIA UTILIZADAS</w:t>
      </w:r>
    </w:p>
    <w:p w14:paraId="3CC43979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V.I. LEGISLAÇÃO</w:t>
      </w:r>
    </w:p>
    <w:p w14:paraId="4EDD9EBD" w14:textId="5A6F7B48" w:rsid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6E2A0A">
        <w:rPr>
          <w:rFonts w:eastAsiaTheme="minorHAnsi"/>
          <w:b/>
          <w:bCs/>
          <w:sz w:val="24"/>
          <w:szCs w:val="24"/>
          <w:lang w:eastAsia="en-US"/>
        </w:rPr>
        <w:t>Decreto-Lei n. 911</w:t>
      </w:r>
      <w:r w:rsidR="009478EF">
        <w:rPr>
          <w:rFonts w:eastAsiaTheme="minorHAnsi"/>
          <w:b/>
          <w:bCs/>
          <w:sz w:val="24"/>
          <w:szCs w:val="24"/>
          <w:lang w:eastAsia="en-US"/>
        </w:rPr>
        <w:t xml:space="preserve"> de </w:t>
      </w:r>
      <w:r w:rsidRPr="006E2A0A">
        <w:rPr>
          <w:rFonts w:eastAsiaTheme="minorHAnsi"/>
          <w:b/>
          <w:bCs/>
          <w:sz w:val="24"/>
          <w:szCs w:val="24"/>
          <w:lang w:eastAsia="en-US"/>
        </w:rPr>
        <w:t>1969</w:t>
      </w:r>
      <w:r w:rsidR="009478EF">
        <w:rPr>
          <w:rFonts w:eastAsiaTheme="minorHAnsi"/>
          <w:b/>
          <w:bCs/>
          <w:sz w:val="24"/>
          <w:szCs w:val="24"/>
          <w:lang w:eastAsia="en-US"/>
        </w:rPr>
        <w:t>: art. 3º.</w:t>
      </w:r>
    </w:p>
    <w:p w14:paraId="3FED8EB8" w14:textId="77777777" w:rsidR="006E2A0A" w:rsidRP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E2A0A">
        <w:rPr>
          <w:rFonts w:eastAsiaTheme="minorHAnsi"/>
          <w:b/>
          <w:bCs/>
          <w:sz w:val="24"/>
          <w:szCs w:val="24"/>
          <w:lang w:eastAsia="en-US"/>
        </w:rPr>
        <w:t>V.II</w:t>
      </w:r>
      <w:proofErr w:type="spellEnd"/>
      <w:r w:rsidRPr="006E2A0A">
        <w:rPr>
          <w:rFonts w:eastAsiaTheme="minorHAnsi"/>
          <w:b/>
          <w:bCs/>
          <w:sz w:val="24"/>
          <w:szCs w:val="24"/>
          <w:lang w:eastAsia="en-US"/>
        </w:rPr>
        <w:t>. JURISPRUDÊNCIA</w:t>
      </w:r>
    </w:p>
    <w:p w14:paraId="41B5D1DD" w14:textId="3D2331D8" w:rsidR="006E2A0A" w:rsidRDefault="007B50FE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7B50FE">
        <w:rPr>
          <w:rFonts w:eastAsiaTheme="minorHAnsi"/>
          <w:b/>
          <w:bCs/>
          <w:sz w:val="24"/>
          <w:szCs w:val="24"/>
          <w:lang w:eastAsia="en-US"/>
        </w:rPr>
        <w:t>TJPR</w:t>
      </w:r>
      <w:proofErr w:type="spellEnd"/>
      <w:r w:rsidRPr="007B50FE">
        <w:rPr>
          <w:rFonts w:eastAsiaTheme="minorHAnsi"/>
          <w:b/>
          <w:bCs/>
          <w:sz w:val="24"/>
          <w:szCs w:val="24"/>
          <w:lang w:eastAsia="en-US"/>
        </w:rPr>
        <w:t xml:space="preserve">. 17ª Câmara Cível. Relator: Desembargador Mario Luiz </w:t>
      </w:r>
      <w:proofErr w:type="spellStart"/>
      <w:r w:rsidRPr="007B50FE">
        <w:rPr>
          <w:rFonts w:eastAsiaTheme="minorHAnsi"/>
          <w:b/>
          <w:bCs/>
          <w:sz w:val="24"/>
          <w:szCs w:val="24"/>
          <w:lang w:eastAsia="en-US"/>
        </w:rPr>
        <w:t>Ramidoff</w:t>
      </w:r>
      <w:proofErr w:type="spellEnd"/>
      <w:r w:rsidRPr="007B50FE">
        <w:rPr>
          <w:rFonts w:eastAsiaTheme="minorHAnsi"/>
          <w:b/>
          <w:bCs/>
          <w:sz w:val="24"/>
          <w:szCs w:val="24"/>
          <w:lang w:eastAsia="en-US"/>
        </w:rPr>
        <w:t>. 0006106-83.2025.8.16.0000. Castro. Data de julgamento: 30-01-2025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10D94055" w14:textId="77777777" w:rsidR="006E2A0A" w:rsidRDefault="006E2A0A" w:rsidP="006E2A0A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4C7E2A4C" w14:textId="7535DC98" w:rsidR="00F76B73" w:rsidRDefault="006C41DC" w:rsidP="006C41DC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agravo interno interposto por</w:t>
      </w:r>
      <w:r w:rsidR="000073E0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="00F76B73">
        <w:rPr>
          <w:rFonts w:eastAsiaTheme="minorHAnsi"/>
          <w:sz w:val="24"/>
          <w:szCs w:val="24"/>
          <w:lang w:eastAsia="en-US"/>
        </w:rPr>
        <w:t>Kauana</w:t>
      </w:r>
      <w:proofErr w:type="spellEnd"/>
      <w:r w:rsidR="00F76B73">
        <w:rPr>
          <w:rFonts w:eastAsiaTheme="minorHAnsi"/>
          <w:sz w:val="24"/>
          <w:szCs w:val="24"/>
          <w:lang w:eastAsia="en-US"/>
        </w:rPr>
        <w:t xml:space="preserve"> Aline da Luz em face de Omni S. A. Crédito </w:t>
      </w:r>
      <w:r w:rsidR="00F8798C">
        <w:rPr>
          <w:rFonts w:eastAsiaTheme="minorHAnsi"/>
          <w:sz w:val="24"/>
          <w:szCs w:val="24"/>
          <w:lang w:eastAsia="en-US"/>
        </w:rPr>
        <w:t>Financiamento e Investimento</w:t>
      </w:r>
      <w:r w:rsidR="003F2572">
        <w:rPr>
          <w:rFonts w:eastAsiaTheme="minorHAnsi"/>
          <w:sz w:val="24"/>
          <w:szCs w:val="24"/>
          <w:lang w:eastAsia="en-US"/>
        </w:rPr>
        <w:t xml:space="preserve">, tendo como objeto decisão unipessoal de não conhecimento de agravo de instrumento por supressão de instância (evento </w:t>
      </w:r>
      <w:r w:rsidR="009C3813">
        <w:rPr>
          <w:rFonts w:eastAsiaTheme="minorHAnsi"/>
          <w:sz w:val="24"/>
          <w:szCs w:val="24"/>
          <w:lang w:eastAsia="en-US"/>
        </w:rPr>
        <w:t>9.1 – AI).</w:t>
      </w:r>
    </w:p>
    <w:p w14:paraId="49334BFF" w14:textId="77777777" w:rsidR="003B4FC4" w:rsidRPr="003B4FC4" w:rsidRDefault="003B4FC4" w:rsidP="003B4FC4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3B4FC4">
        <w:rPr>
          <w:rFonts w:eastAsiaTheme="minorHAnsi"/>
          <w:sz w:val="24"/>
          <w:szCs w:val="24"/>
          <w:lang w:eastAsia="en-US"/>
        </w:rPr>
        <w:t>Nas razões recursais, a agravante sustenta que o agravo de instrumento é cabível contra decisão que defere liminar de busca e apreensão, nos termos do art. 1.015, I, do CPC. Argumenta que a cobrança de juros acima da média de mercado descaracteriza a mora e, por consequência, afasta o pressuposto da medida liminar.</w:t>
      </w:r>
    </w:p>
    <w:p w14:paraId="253BF3B2" w14:textId="3583C591" w:rsidR="009C3813" w:rsidRDefault="003B4FC4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3B4FC4">
        <w:rPr>
          <w:rFonts w:eastAsiaTheme="minorHAnsi"/>
          <w:sz w:val="24"/>
          <w:szCs w:val="24"/>
          <w:lang w:eastAsia="en-US"/>
        </w:rPr>
        <w:t>Não foram apresentadas contrarrazões</w:t>
      </w:r>
      <w:r w:rsidR="00374263">
        <w:rPr>
          <w:rFonts w:eastAsiaTheme="minorHAnsi"/>
          <w:sz w:val="24"/>
          <w:szCs w:val="24"/>
          <w:lang w:eastAsia="en-US"/>
        </w:rPr>
        <w:t xml:space="preserve"> (evento </w:t>
      </w:r>
      <w:r w:rsidR="002A4672">
        <w:rPr>
          <w:rFonts w:eastAsiaTheme="minorHAnsi"/>
          <w:sz w:val="24"/>
          <w:szCs w:val="24"/>
          <w:lang w:eastAsia="en-US"/>
        </w:rPr>
        <w:t>11).</w:t>
      </w:r>
    </w:p>
    <w:p w14:paraId="22BD59C0" w14:textId="5C7590AC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2235AC4A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76417D">
        <w:rPr>
          <w:rFonts w:eastAsiaTheme="minorHAnsi"/>
          <w:sz w:val="24"/>
          <w:szCs w:val="24"/>
          <w:lang w:eastAsia="en-US"/>
        </w:rPr>
        <w:t>DA SUPRESSÃO DE INSTÂNCIA</w:t>
      </w:r>
    </w:p>
    <w:p w14:paraId="4BD2BAF4" w14:textId="1CBB9C38" w:rsidR="009C3813" w:rsidRDefault="009D606D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Circunscreve-se a controvérsia recursal </w:t>
      </w:r>
      <w:r w:rsidR="00524466">
        <w:rPr>
          <w:rFonts w:eastAsiaTheme="minorHAnsi"/>
          <w:sz w:val="24"/>
          <w:szCs w:val="24"/>
          <w:lang w:eastAsia="en-US"/>
        </w:rPr>
        <w:t xml:space="preserve">à pretensão de reexame de decisão monocrática de não conhecimento de agravo de instrumento, interposto contra decisão liminar concessiva de busca e apreensão, </w:t>
      </w:r>
      <w:r w:rsidR="00554E44">
        <w:rPr>
          <w:rFonts w:eastAsiaTheme="minorHAnsi"/>
          <w:sz w:val="24"/>
          <w:szCs w:val="24"/>
          <w:lang w:eastAsia="en-US"/>
        </w:rPr>
        <w:t>sob o fundamento de supressão de instância.</w:t>
      </w:r>
    </w:p>
    <w:p w14:paraId="5ADF34A9" w14:textId="4439B03E" w:rsidR="00137705" w:rsidRDefault="0077629B" w:rsidP="0077629B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77629B">
        <w:rPr>
          <w:rFonts w:eastAsiaTheme="minorHAnsi"/>
          <w:sz w:val="24"/>
          <w:szCs w:val="24"/>
          <w:lang w:eastAsia="en-US"/>
        </w:rPr>
        <w:t>As matérias alegadas no agravo de instrumento, especialmente a abusividade contratual e a descaracterização da mora, não foram objeto de apreciação pelo juízo de primeiro grau.</w:t>
      </w:r>
    </w:p>
    <w:p w14:paraId="362CBD9A" w14:textId="752AE192" w:rsidR="00834620" w:rsidRPr="00EC759D" w:rsidRDefault="00137705" w:rsidP="008346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 efeito, a decisão concessiva de busca e apreensão limitou-se ao exame dos </w:t>
      </w:r>
      <w:r w:rsidR="00F25D40">
        <w:rPr>
          <w:rFonts w:eastAsiaTheme="minorHAnsi"/>
          <w:sz w:val="24"/>
          <w:szCs w:val="24"/>
          <w:lang w:eastAsia="en-US"/>
        </w:rPr>
        <w:t>requisitos inscritos no artigo 3º do Decreto Lei n. 911 de 19</w:t>
      </w:r>
      <w:r w:rsidR="00834620">
        <w:rPr>
          <w:rFonts w:eastAsiaTheme="minorHAnsi"/>
          <w:sz w:val="24"/>
          <w:szCs w:val="24"/>
          <w:lang w:eastAsia="en-US"/>
        </w:rPr>
        <w:t xml:space="preserve">65. </w:t>
      </w:r>
      <w:r w:rsidR="0077629B" w:rsidRPr="0077629B">
        <w:rPr>
          <w:rFonts w:eastAsiaTheme="minorHAnsi"/>
          <w:sz w:val="24"/>
          <w:szCs w:val="24"/>
          <w:lang w:eastAsia="en-US"/>
        </w:rPr>
        <w:t xml:space="preserve">A discussão sobre abusividade contratual demanda dilação probatória e não se insere no âmbito de cognição sumária própria </w:t>
      </w:r>
      <w:r w:rsidR="00834620">
        <w:rPr>
          <w:rFonts w:eastAsiaTheme="minorHAnsi"/>
          <w:sz w:val="24"/>
          <w:szCs w:val="24"/>
          <w:lang w:eastAsia="en-US"/>
        </w:rPr>
        <w:t xml:space="preserve">da indigitada decisão liminar, </w:t>
      </w:r>
      <w:r w:rsidR="00EC759D">
        <w:rPr>
          <w:rFonts w:eastAsiaTheme="minorHAnsi"/>
          <w:sz w:val="24"/>
          <w:szCs w:val="24"/>
          <w:lang w:eastAsia="en-US"/>
        </w:rPr>
        <w:t>com</w:t>
      </w:r>
      <w:r w:rsidR="00834620">
        <w:rPr>
          <w:rFonts w:eastAsiaTheme="minorHAnsi"/>
          <w:sz w:val="24"/>
          <w:szCs w:val="24"/>
          <w:lang w:eastAsia="en-US"/>
        </w:rPr>
        <w:t xml:space="preserve"> perímetro cognitivo </w:t>
      </w:r>
      <w:r w:rsidR="00EC759D">
        <w:rPr>
          <w:rFonts w:eastAsiaTheme="minorHAnsi"/>
          <w:sz w:val="24"/>
          <w:szCs w:val="24"/>
          <w:lang w:eastAsia="en-US"/>
        </w:rPr>
        <w:t xml:space="preserve">restringido </w:t>
      </w:r>
      <w:r w:rsidR="00EC759D">
        <w:rPr>
          <w:rFonts w:eastAsiaTheme="minorHAnsi"/>
          <w:i/>
          <w:iCs/>
          <w:sz w:val="24"/>
          <w:szCs w:val="24"/>
          <w:lang w:eastAsia="en-US"/>
        </w:rPr>
        <w:t>ex vi lege.</w:t>
      </w:r>
    </w:p>
    <w:p w14:paraId="7E184DD6" w14:textId="77777777" w:rsidR="00EC759D" w:rsidRDefault="00834620" w:rsidP="008346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a</w:t>
      </w:r>
      <w:r w:rsidR="0077629B" w:rsidRPr="0077629B">
        <w:rPr>
          <w:rFonts w:eastAsiaTheme="minorHAnsi"/>
          <w:sz w:val="24"/>
          <w:szCs w:val="24"/>
          <w:lang w:eastAsia="en-US"/>
        </w:rPr>
        <w:t xml:space="preserve"> tentativa de trazer tais matérias diretamente à instância recursal, sem prévia apreciação pelo juízo de origem</w:t>
      </w:r>
      <w:r w:rsidR="00EC759D">
        <w:rPr>
          <w:rFonts w:eastAsiaTheme="minorHAnsi"/>
          <w:sz w:val="24"/>
          <w:szCs w:val="24"/>
          <w:lang w:eastAsia="en-US"/>
        </w:rPr>
        <w:t>, configura evidente supressão de instância a ensejar a inadmissibilidade do respectivo recurso.</w:t>
      </w:r>
    </w:p>
    <w:p w14:paraId="10422DE3" w14:textId="2B0E7B9A" w:rsidR="0077629B" w:rsidRDefault="00EC759D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14:paraId="3A31AA0E" w14:textId="77777777" w:rsidR="007B50FE" w:rsidRDefault="007B50FE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CC24D8" w14:textId="55052C1B" w:rsidR="0077629B" w:rsidRPr="007B50FE" w:rsidRDefault="00F619B1" w:rsidP="00EC759D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7B50FE">
        <w:rPr>
          <w:rFonts w:eastAsiaTheme="minorHAnsi"/>
          <w:lang w:eastAsia="en-US"/>
        </w:rPr>
        <w:t xml:space="preserve">DIREITO CIVIL. DIREITO PROCESSUAL CIVIL. AGRAVO DE INSTRUMENTO. INSURGÊNCIA RECURSAL IMEDIATA. NÃO CONHECIMENTO. QUESTÕES DEDUZIDAS SIMULTANEAMENTE EM SEDE DE CONTESTAÇÃO E AGRAVO DE INSTRUMENTO. </w:t>
      </w:r>
      <w:r w:rsidRPr="007B50FE">
        <w:rPr>
          <w:rFonts w:eastAsiaTheme="minorHAnsi"/>
          <w:b/>
          <w:bCs/>
          <w:lang w:eastAsia="en-US"/>
        </w:rPr>
        <w:t>AUSÊNCIA DE APRECIAÇÃO EM PRIMEIRO GRAU DE JURISDIÇÃO. SUPRESSÃO DE INSTÂNCIA</w:t>
      </w:r>
      <w:r w:rsidRPr="007B50FE">
        <w:rPr>
          <w:rFonts w:eastAsiaTheme="minorHAnsi"/>
          <w:lang w:eastAsia="en-US"/>
        </w:rPr>
        <w:t>. INADMISSIBILIDADE RECURSAL, INC. III DO ART. 932 DA LEI N. 13.105/2015. PRECEDENTES. 1. Na vertente demanda, verifica-se que os fatos, fundamentos e pedidos deduzidos pelo Agravante em sede recursal, sequer, foram apreciados pela douta Magistrada, eis que deduzidos simultaneamente em sede de contestação e em sede recursal, motivo pelo qual, não se afigura legitimamente plausível a devolução de matéria, que, não tenha sido regular e validamente submetida apreciada pelo Órgão Julgador competente, sob pena mesmo da ocorrência de supressão de instância (jurisdicional). 2. Recurso de agravo de instrumento não conhecido. (</w:t>
      </w:r>
      <w:bookmarkStart w:id="0" w:name="_Hlk205562405"/>
      <w:proofErr w:type="spellStart"/>
      <w:r w:rsidRPr="007B50FE">
        <w:rPr>
          <w:rFonts w:eastAsiaTheme="minorHAnsi"/>
          <w:lang w:eastAsia="en-US"/>
        </w:rPr>
        <w:t>TJPR</w:t>
      </w:r>
      <w:proofErr w:type="spellEnd"/>
      <w:r w:rsidRPr="007B50FE">
        <w:rPr>
          <w:rFonts w:eastAsiaTheme="minorHAnsi"/>
          <w:lang w:eastAsia="en-US"/>
        </w:rPr>
        <w:t xml:space="preserve">. 17ª Câmara Cível. Relator: Desembargador Mario Luiz </w:t>
      </w:r>
      <w:proofErr w:type="spellStart"/>
      <w:r w:rsidRPr="007B50FE">
        <w:rPr>
          <w:rFonts w:eastAsiaTheme="minorHAnsi"/>
          <w:lang w:eastAsia="en-US"/>
        </w:rPr>
        <w:t>Ramidoff</w:t>
      </w:r>
      <w:proofErr w:type="spellEnd"/>
      <w:r w:rsidRPr="007B50FE">
        <w:rPr>
          <w:rFonts w:eastAsiaTheme="minorHAnsi"/>
          <w:lang w:eastAsia="en-US"/>
        </w:rPr>
        <w:t>. 0006106-83.2025.8.16.0000. Castro. Data de julgamento: 30-01-2025</w:t>
      </w:r>
      <w:bookmarkEnd w:id="0"/>
      <w:r w:rsidRPr="007B50FE">
        <w:rPr>
          <w:rFonts w:eastAsiaTheme="minorHAnsi"/>
          <w:lang w:eastAsia="en-US"/>
        </w:rPr>
        <w:t>).</w:t>
      </w:r>
    </w:p>
    <w:p w14:paraId="712CC95D" w14:textId="77777777" w:rsidR="009C3813" w:rsidRDefault="009C3813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53F79B0" w14:textId="5F699959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A425BB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A425BB">
        <w:rPr>
          <w:rFonts w:eastAsiaTheme="minorHAnsi"/>
          <w:lang w:eastAsia="en-US"/>
        </w:rPr>
        <w:t>. AUTORA DIAGNOSTICADA COM ESCLEROSE MÚLTIPLA. FORNECIMENTO DO MEDICAMENTO “</w:t>
      </w:r>
      <w:proofErr w:type="spellStart"/>
      <w:r w:rsidRPr="00A425BB">
        <w:rPr>
          <w:rFonts w:eastAsiaTheme="minorHAnsi"/>
          <w:lang w:eastAsia="en-US"/>
        </w:rPr>
        <w:t>OFATUMUMABE</w:t>
      </w:r>
      <w:proofErr w:type="spellEnd"/>
      <w:r w:rsidRPr="00A425BB">
        <w:rPr>
          <w:rFonts w:eastAsiaTheme="minorHAnsi"/>
          <w:lang w:eastAsia="en-US"/>
        </w:rPr>
        <w:t xml:space="preserve"> (</w:t>
      </w:r>
      <w:proofErr w:type="spellStart"/>
      <w:r w:rsidRPr="00A425BB">
        <w:rPr>
          <w:rFonts w:eastAsiaTheme="minorHAnsi"/>
          <w:lang w:eastAsia="en-US"/>
        </w:rPr>
        <w:t>KESIMPTA</w:t>
      </w:r>
      <w:proofErr w:type="spellEnd"/>
      <w:r w:rsidRPr="00A425BB">
        <w:rPr>
          <w:rFonts w:eastAsiaTheme="minorHAnsi"/>
          <w:lang w:eastAsia="en-US"/>
        </w:rPr>
        <w:t xml:space="preserve">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1" w:name="_Hlk192694248"/>
      <w:proofErr w:type="spellStart"/>
      <w:r w:rsidRPr="00A425BB">
        <w:rPr>
          <w:rFonts w:eastAsiaTheme="minorHAnsi"/>
          <w:lang w:eastAsia="en-US"/>
        </w:rPr>
        <w:t>TJPR</w:t>
      </w:r>
      <w:proofErr w:type="spellEnd"/>
      <w:r w:rsidRPr="00A425BB">
        <w:rPr>
          <w:rFonts w:eastAsiaTheme="minorHAnsi"/>
          <w:lang w:eastAsia="en-US"/>
        </w:rPr>
        <w:t>. 10ª Câmara Cível. Relatora: Desembargadora Substituta Elizabeth de Fátima Nogueira Calmon de Passos. Agravo interno. 0012716-04.2024.8.16.0000. São José dos Pinhais. Data de julgamento: 15-07-2024</w:t>
      </w:r>
      <w:bookmarkEnd w:id="1"/>
      <w:r w:rsidRPr="00A425BB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12ACB7BB" w14:textId="77777777" w:rsidR="009C3813" w:rsidRDefault="009C381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42A894E4" w:rsidR="001D481F" w:rsidRDefault="009C381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Theme="minorHAnsi"/>
          <w:sz w:val="24"/>
          <w:szCs w:val="24"/>
          <w:lang w:eastAsia="en-US"/>
        </w:rPr>
        <w:t>II.III</w:t>
      </w:r>
      <w:proofErr w:type="spellEnd"/>
      <w:r w:rsidR="001D481F">
        <w:rPr>
          <w:rFonts w:eastAsiaTheme="minorHAnsi"/>
          <w:sz w:val="24"/>
          <w:szCs w:val="24"/>
          <w:lang w:eastAsia="en-US"/>
        </w:rPr>
        <w:t xml:space="preserve"> 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01F4E" w14:textId="77777777" w:rsidR="00586FAE" w:rsidRDefault="00586FAE" w:rsidP="00E57A7E">
      <w:r>
        <w:separator/>
      </w:r>
    </w:p>
  </w:endnote>
  <w:endnote w:type="continuationSeparator" w:id="0">
    <w:p w14:paraId="1C711570" w14:textId="77777777" w:rsidR="00586FAE" w:rsidRDefault="00586FA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20C48" w14:textId="77777777" w:rsidR="00586FAE" w:rsidRDefault="00586FAE" w:rsidP="00E57A7E">
      <w:r>
        <w:separator/>
      </w:r>
    </w:p>
  </w:footnote>
  <w:footnote w:type="continuationSeparator" w:id="0">
    <w:p w14:paraId="1AC3383E" w14:textId="77777777" w:rsidR="00586FAE" w:rsidRDefault="00586FAE" w:rsidP="00E5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9BA"/>
    <w:multiLevelType w:val="multilevel"/>
    <w:tmpl w:val="BBB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58EB"/>
    <w:multiLevelType w:val="multilevel"/>
    <w:tmpl w:val="CC56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45528"/>
    <w:multiLevelType w:val="multilevel"/>
    <w:tmpl w:val="2A44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622904">
    <w:abstractNumId w:val="0"/>
  </w:num>
  <w:num w:numId="2" w16cid:durableId="474489963">
    <w:abstractNumId w:val="1"/>
  </w:num>
  <w:num w:numId="3" w16cid:durableId="121315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0603"/>
    <w:rsid w:val="000073E0"/>
    <w:rsid w:val="00056950"/>
    <w:rsid w:val="00062DDB"/>
    <w:rsid w:val="000A38B3"/>
    <w:rsid w:val="000B63FD"/>
    <w:rsid w:val="000C55BF"/>
    <w:rsid w:val="000F6C9C"/>
    <w:rsid w:val="00107194"/>
    <w:rsid w:val="00132CD6"/>
    <w:rsid w:val="00136BF3"/>
    <w:rsid w:val="00137705"/>
    <w:rsid w:val="00152377"/>
    <w:rsid w:val="001D481F"/>
    <w:rsid w:val="00220F14"/>
    <w:rsid w:val="0022203B"/>
    <w:rsid w:val="0023147B"/>
    <w:rsid w:val="00252E06"/>
    <w:rsid w:val="002654A4"/>
    <w:rsid w:val="002A4672"/>
    <w:rsid w:val="002B21EF"/>
    <w:rsid w:val="002D079E"/>
    <w:rsid w:val="002D6082"/>
    <w:rsid w:val="003005AD"/>
    <w:rsid w:val="003044CA"/>
    <w:rsid w:val="00317948"/>
    <w:rsid w:val="00320C1E"/>
    <w:rsid w:val="003365E6"/>
    <w:rsid w:val="00347CE1"/>
    <w:rsid w:val="0036508A"/>
    <w:rsid w:val="00374263"/>
    <w:rsid w:val="003855DB"/>
    <w:rsid w:val="00390406"/>
    <w:rsid w:val="003B0C74"/>
    <w:rsid w:val="003B4FC4"/>
    <w:rsid w:val="003F2572"/>
    <w:rsid w:val="0040081D"/>
    <w:rsid w:val="004238DC"/>
    <w:rsid w:val="00446273"/>
    <w:rsid w:val="004864FF"/>
    <w:rsid w:val="00500435"/>
    <w:rsid w:val="00524466"/>
    <w:rsid w:val="00554E44"/>
    <w:rsid w:val="005623D1"/>
    <w:rsid w:val="00582A29"/>
    <w:rsid w:val="00584CFA"/>
    <w:rsid w:val="00586FAE"/>
    <w:rsid w:val="00632005"/>
    <w:rsid w:val="006A74E9"/>
    <w:rsid w:val="006C41DC"/>
    <w:rsid w:val="006E2A0A"/>
    <w:rsid w:val="006E71D3"/>
    <w:rsid w:val="006F4ED5"/>
    <w:rsid w:val="00704CE9"/>
    <w:rsid w:val="00706614"/>
    <w:rsid w:val="00710D40"/>
    <w:rsid w:val="00743E2A"/>
    <w:rsid w:val="0076417D"/>
    <w:rsid w:val="0077629B"/>
    <w:rsid w:val="00785FA7"/>
    <w:rsid w:val="007A60D1"/>
    <w:rsid w:val="007B50FE"/>
    <w:rsid w:val="007C1295"/>
    <w:rsid w:val="007D18C4"/>
    <w:rsid w:val="007D5C58"/>
    <w:rsid w:val="007D773E"/>
    <w:rsid w:val="0080753B"/>
    <w:rsid w:val="0081673E"/>
    <w:rsid w:val="00821E1D"/>
    <w:rsid w:val="00834620"/>
    <w:rsid w:val="00843EA7"/>
    <w:rsid w:val="008D3672"/>
    <w:rsid w:val="008E697D"/>
    <w:rsid w:val="00920AB2"/>
    <w:rsid w:val="009478EF"/>
    <w:rsid w:val="009B4947"/>
    <w:rsid w:val="009C3813"/>
    <w:rsid w:val="009D606D"/>
    <w:rsid w:val="009D74D1"/>
    <w:rsid w:val="00A1703D"/>
    <w:rsid w:val="00A425BB"/>
    <w:rsid w:val="00A55F16"/>
    <w:rsid w:val="00AF4361"/>
    <w:rsid w:val="00B054CD"/>
    <w:rsid w:val="00B40E92"/>
    <w:rsid w:val="00B44552"/>
    <w:rsid w:val="00B745CF"/>
    <w:rsid w:val="00BC542B"/>
    <w:rsid w:val="00BC68E6"/>
    <w:rsid w:val="00BD3F10"/>
    <w:rsid w:val="00BE105C"/>
    <w:rsid w:val="00BE7A34"/>
    <w:rsid w:val="00C15870"/>
    <w:rsid w:val="00C214AE"/>
    <w:rsid w:val="00C41BB0"/>
    <w:rsid w:val="00C42472"/>
    <w:rsid w:val="00C64155"/>
    <w:rsid w:val="00CE09A1"/>
    <w:rsid w:val="00D121E3"/>
    <w:rsid w:val="00D15FBE"/>
    <w:rsid w:val="00D473D7"/>
    <w:rsid w:val="00D54848"/>
    <w:rsid w:val="00DA36D7"/>
    <w:rsid w:val="00DC7F1A"/>
    <w:rsid w:val="00DE0963"/>
    <w:rsid w:val="00E178AC"/>
    <w:rsid w:val="00E57A7E"/>
    <w:rsid w:val="00E74593"/>
    <w:rsid w:val="00E81251"/>
    <w:rsid w:val="00E90A50"/>
    <w:rsid w:val="00EA0555"/>
    <w:rsid w:val="00EC759D"/>
    <w:rsid w:val="00ED5D21"/>
    <w:rsid w:val="00EF6B7B"/>
    <w:rsid w:val="00F165EE"/>
    <w:rsid w:val="00F25D40"/>
    <w:rsid w:val="00F619B1"/>
    <w:rsid w:val="00F7185E"/>
    <w:rsid w:val="00F76B73"/>
    <w:rsid w:val="00F8798C"/>
    <w:rsid w:val="00FC2659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4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5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17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6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5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8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2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3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2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3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5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4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2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4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4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2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27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7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0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05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3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7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1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6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94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9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3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7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6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0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0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694</Words>
  <Characters>4150</Characters>
  <Application>Microsoft Office Word</Application>
  <DocSecurity>0</DocSecurity>
  <Lines>96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96</cp:revision>
  <dcterms:created xsi:type="dcterms:W3CDTF">2023-06-26T17:41:00Z</dcterms:created>
  <dcterms:modified xsi:type="dcterms:W3CDTF">2025-08-12T19:43:00Z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