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2E" w:rsidRDefault="00551A2E" w:rsidP="00551A2E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bookmarkStart w:id="0" w:name="_GoBack"/>
      <w:r>
        <w:rPr>
          <w:b/>
          <w:bCs/>
        </w:rPr>
        <w:t>DECISÃO MONOCRÁTICA. CIVIL. PROCESSUAL CIVIL. AGRAVO DE INSTRUMENTO. AÇÃO DE REINTEGRAÇÃO DE POSSE. LIMINAR CONCEDIDA EM FACE DO CREDOR FIDUCIÁRIO. PRETENSÃO DE REVOGAÇÃO DA DECISÃO. TERCEIRO POSSUIDOR DE BOA-FÉ. CONCESSÃO DE TUTELA POSSESSÓRIA EM SEDE DE EMBARGOS DE TERCEIRO. PERDA SUPERVENIENTE DO OBJETO. RECURSO NÃO CONHECIDO.</w:t>
      </w:r>
    </w:p>
    <w:p w:rsidR="00551A2E" w:rsidRDefault="00551A2E" w:rsidP="00551A2E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1. A posterior obtenção</w:t>
      </w:r>
      <w:r w:rsidR="00D7444D">
        <w:rPr>
          <w:b/>
          <w:bCs/>
        </w:rPr>
        <w:t xml:space="preserve">, em primeiro grau, </w:t>
      </w:r>
      <w:r>
        <w:rPr>
          <w:b/>
          <w:bCs/>
        </w:rPr>
        <w:t xml:space="preserve">da tutela </w:t>
      </w:r>
      <w:r w:rsidR="00D7444D">
        <w:rPr>
          <w:b/>
          <w:bCs/>
        </w:rPr>
        <w:t>recursal pretendida, torna prejudicado o respectivo recurso.</w:t>
      </w:r>
    </w:p>
    <w:p w:rsidR="00D7444D" w:rsidRDefault="00D7444D" w:rsidP="00551A2E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2. Recurso não conhecido.</w:t>
      </w:r>
    </w:p>
    <w:p w:rsidR="00551A2E" w:rsidRDefault="00551A2E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:rsidR="00147C0A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733889" w:rsidRPr="00903197">
        <w:t xml:space="preserve"> </w:t>
      </w:r>
      <w:proofErr w:type="spellStart"/>
      <w:r w:rsidR="00147C0A">
        <w:t>Lais</w:t>
      </w:r>
      <w:proofErr w:type="spellEnd"/>
      <w:r w:rsidR="00147C0A">
        <w:t xml:space="preserve"> de Lima Porto Souza e face de Thiago da Silva de Souza em face de </w:t>
      </w:r>
      <w:proofErr w:type="spellStart"/>
      <w:r w:rsidR="00147C0A">
        <w:t>Cashme</w:t>
      </w:r>
      <w:proofErr w:type="spellEnd"/>
      <w:r w:rsidR="00147C0A">
        <w:t xml:space="preserve"> Soluções Financeiras Ltda., tendo como objeto decisão proferida pelo juízo da 1ª Vara Cível de São José dos Pinhais, que deferiu em favor da agrava e reintegração de posse de imóvel objeto de alienação fiduciária, com propriedade constituída em favor da credora (evento 39.1 – autos de origem).</w:t>
      </w:r>
    </w:p>
    <w:p w:rsidR="00147C0A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Postulam os agravantes, em apertada síntese, a concessão de efeito suspensivo, para preservar sua posse sobre o imóvel litigioso (evento 1.1).</w:t>
      </w:r>
    </w:p>
    <w:p w:rsidR="00147C0A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necessário relato.</w:t>
      </w:r>
    </w:p>
    <w:p w:rsidR="00147C0A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 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Da análise dos autos, infere-se que os agravantes obtiveram tutela possessória sobre o imóvel litigioso nos embargos de terceiro sob o nº </w:t>
      </w:r>
      <w:r>
        <w:t>0005986-66.2024.8.16.0035</w:t>
      </w:r>
      <w:r>
        <w:t>.</w:t>
      </w:r>
    </w:p>
    <w:p w:rsidR="00147C0A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Constata-se, portanto, a perda superveniente do objeto recursal, plasmada na satisfação da pretensão jurídica veiculada no presente agravo.</w:t>
      </w:r>
    </w:p>
    <w:p w:rsidR="00551A2E" w:rsidRDefault="00551A2E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Resulta, pois, prejudicado o agravo de instrumento.</w:t>
      </w:r>
    </w:p>
    <w:p w:rsidR="00147C0A" w:rsidRPr="00903197" w:rsidRDefault="00147C0A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:rsidR="00551A2E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551A2E">
        <w:t xml:space="preserve">com fulcro no artigo 932, inciso </w:t>
      </w:r>
      <w:proofErr w:type="spellStart"/>
      <w:r w:rsidR="00551A2E">
        <w:t>III</w:t>
      </w:r>
      <w:proofErr w:type="spellEnd"/>
      <w:r w:rsidR="00551A2E">
        <w:t xml:space="preserve">, do Código de Processo Civil e no artigo 182, inciso </w:t>
      </w:r>
      <w:proofErr w:type="spellStart"/>
      <w:r w:rsidR="00551A2E">
        <w:t>XIX</w:t>
      </w:r>
      <w:proofErr w:type="spellEnd"/>
      <w:r w:rsidR="00551A2E">
        <w:t>, do Regimento Interno, não se conhece do recurso interposto.</w:t>
      </w:r>
    </w:p>
    <w:p w:rsidR="000F3022" w:rsidRDefault="00551A2E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Intimem-se.</w:t>
      </w:r>
    </w:p>
    <w:p w:rsidR="00DA36D7" w:rsidRPr="00903197" w:rsidRDefault="00551A2E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  <w:r w:rsidR="00D72BA8" w:rsidRPr="00903197">
        <w:t xml:space="preserve"> 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47C0A"/>
    <w:rsid w:val="002A7FA2"/>
    <w:rsid w:val="00551A2E"/>
    <w:rsid w:val="00704CE9"/>
    <w:rsid w:val="00733889"/>
    <w:rsid w:val="00903197"/>
    <w:rsid w:val="00BD3F10"/>
    <w:rsid w:val="00C957C8"/>
    <w:rsid w:val="00D72BA8"/>
    <w:rsid w:val="00D7444D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5001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E469B-5FC8-43FD-9BA1-BA342B252E3C}"/>
</file>

<file path=customXml/itemProps2.xml><?xml version="1.0" encoding="utf-8"?>
<ds:datastoreItem xmlns:ds="http://schemas.openxmlformats.org/officeDocument/2006/customXml" ds:itemID="{7CE37B32-A459-455E-A1BF-23100F2578A0}"/>
</file>

<file path=customXml/itemProps3.xml><?xml version="1.0" encoding="utf-8"?>
<ds:datastoreItem xmlns:ds="http://schemas.openxmlformats.org/officeDocument/2006/customXml" ds:itemID="{3DF5CFFD-BFB0-45AA-B43B-E9FC6ABD6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2023-10-16T20:56:00Z</dcterms:created>
  <dcterms:modified xsi:type="dcterms:W3CDTF">2024-07-26T20:34:00Z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351200</vt:r8>
  </property>
</Properties>
</file>