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F24" w:rsidRDefault="008F1574" w:rsidP="00622F24">
      <w:pPr>
        <w:ind w:firstLine="0"/>
        <w:rPr>
          <w:b/>
        </w:rPr>
      </w:pPr>
      <w:r>
        <w:rPr>
          <w:b/>
        </w:rPr>
        <w:t xml:space="preserve">INFÂNCIA E JUVENTUDE. </w:t>
      </w:r>
      <w:r w:rsidRPr="00622F24">
        <w:rPr>
          <w:b/>
          <w:i/>
        </w:rPr>
        <w:t>HABEAS CORPUS</w:t>
      </w:r>
      <w:r>
        <w:rPr>
          <w:b/>
        </w:rPr>
        <w:t>.</w:t>
      </w:r>
      <w:r w:rsidR="00622F24">
        <w:rPr>
          <w:b/>
        </w:rPr>
        <w:t xml:space="preserve"> </w:t>
      </w:r>
      <w:r>
        <w:rPr>
          <w:b/>
        </w:rPr>
        <w:t>ATO INFRACIONAL ANÁLOGO A TRÁFICO DE ENTORPECENTES. ART. 33 DA LEI 11.343 DE 2006.</w:t>
      </w:r>
      <w:r w:rsidR="00622F24">
        <w:rPr>
          <w:b/>
        </w:rPr>
        <w:t xml:space="preserve"> APREENSÃO EM FLAGRANTE PELA VENDA DE COCAÍNA EM VIA PÚBLICA. INTERNAÇÃO PROVISÓRIA. FUNDAMENTAÇÃO SUFICIENTE. MATERIALIDADE A AUTORIA INCONTESTES. PRESENÇA DOS PRESSUPOSTOS DOS ARTIGOS 108 E 174 DO ECA. CONDIÇÃO DE </w:t>
      </w:r>
      <w:proofErr w:type="spellStart"/>
      <w:r w:rsidR="00622F24">
        <w:rPr>
          <w:b/>
        </w:rPr>
        <w:t>ADICÇÃO</w:t>
      </w:r>
      <w:proofErr w:type="spellEnd"/>
      <w:r w:rsidR="00622F24">
        <w:rPr>
          <w:b/>
        </w:rPr>
        <w:t>. NECESSIDADE DA MEDIDA DE INTERNAÇÃO PARA GARANTIA DA ORDEM PÚBLICA E DA SEGURANÇA PESSOAL DO ADOLESCENTE. IMPETRAÇÃO CONHECIDA. ORDEM DENEGADA.</w:t>
      </w:r>
    </w:p>
    <w:p w:rsidR="00622F24" w:rsidRDefault="00622F24" w:rsidP="00622F24">
      <w:pPr>
        <w:ind w:firstLine="0"/>
        <w:rPr>
          <w:b/>
        </w:rPr>
      </w:pPr>
      <w:r>
        <w:rPr>
          <w:b/>
        </w:rPr>
        <w:t>1. Nos termos dos artigos 108, parágrafo único, e 174 do Estatuto da Criança e do Adolescente, admite-se a decretação da internação provisória para garantia da ordem pública e da segurança pessoal em situação de prática de ato infracional.</w:t>
      </w:r>
    </w:p>
    <w:p w:rsidR="00622F24" w:rsidRPr="00622F24" w:rsidRDefault="00622F24" w:rsidP="00622F24">
      <w:pPr>
        <w:ind w:firstLine="0"/>
        <w:rPr>
          <w:b/>
        </w:rPr>
      </w:pPr>
      <w:r>
        <w:rPr>
          <w:b/>
        </w:rPr>
        <w:t>2. Impetração conhecida. Ordem denegada.</w:t>
      </w:r>
    </w:p>
    <w:p w:rsidR="00622F24" w:rsidRPr="008F1574" w:rsidRDefault="00622F24" w:rsidP="008F1574">
      <w:pPr>
        <w:ind w:firstLine="0"/>
        <w:rPr>
          <w:b/>
        </w:rPr>
      </w:pPr>
    </w:p>
    <w:p w:rsidR="00AA28DF" w:rsidRDefault="00AA28DF" w:rsidP="00AA28DF">
      <w:pPr>
        <w:pStyle w:val="PargrafodaLista"/>
        <w:ind w:left="0"/>
        <w:contextualSpacing w:val="0"/>
        <w:rPr>
          <w:b/>
        </w:rPr>
      </w:pPr>
      <w:r>
        <w:rPr>
          <w:b/>
        </w:rPr>
        <w:t>I – RELATÓRIO</w:t>
      </w:r>
    </w:p>
    <w:p w:rsidR="008F1574" w:rsidRDefault="00AA28DF" w:rsidP="00AA28DF">
      <w:pPr>
        <w:pStyle w:val="PargrafodaLista"/>
        <w:ind w:left="0"/>
        <w:contextualSpacing w:val="0"/>
      </w:pPr>
      <w:r>
        <w:t>Cuida-se de</w:t>
      </w:r>
      <w:r w:rsidR="008F1574">
        <w:t xml:space="preserve"> habeas corpus impetrado pela Defensoria Pública do Estado do Paraná em favor do paciente T</w:t>
      </w:r>
      <w:r w:rsidR="00622F24">
        <w:t>.</w:t>
      </w:r>
      <w:r w:rsidR="008F1574">
        <w:t xml:space="preserve"> de A</w:t>
      </w:r>
      <w:r w:rsidR="00622F24">
        <w:t>.</w:t>
      </w:r>
      <w:r w:rsidR="008F1574">
        <w:t>, tendo como objeto decisão da Vara de Adolescentes em Conflito com a Lei de Curitiba, que aplicou medida de internação provisória ante a constatação da prática de ato infracional análogo ao crime de tráfico ilícito de entorpecentes, previsto no artigo 33 da Lei nº 11.343 de 2006 (evento 16.1 – autos de origem).</w:t>
      </w:r>
    </w:p>
    <w:p w:rsidR="008F1574" w:rsidRDefault="008F1574" w:rsidP="00877419">
      <w:pPr>
        <w:pStyle w:val="PargrafodaLista"/>
        <w:ind w:left="0"/>
        <w:contextualSpacing w:val="0"/>
      </w:pPr>
      <w:r>
        <w:t>Eis, em síntese, os argumentos da impetração: a) a medida de internação provisória não se adequa à nenhuma das hipóteses do artigo 122 do Estatuto da Criança e do Adolescente; b) a decisão impugnada carece de fundamentação, vez que não expõe fundada necessidade de aplicação de gravosa medida (evento 1.1).</w:t>
      </w:r>
    </w:p>
    <w:p w:rsidR="008F1574" w:rsidRDefault="008F1574" w:rsidP="00877419">
      <w:pPr>
        <w:pStyle w:val="PargrafodaLista"/>
        <w:ind w:left="0"/>
        <w:contextualSpacing w:val="0"/>
      </w:pPr>
      <w:r>
        <w:t>Indeferiu-se o pedido liminar, porquanto preenchidos os requisitos legais relativos à internação provisória (evento 10.1).</w:t>
      </w:r>
    </w:p>
    <w:p w:rsidR="008F1574" w:rsidRDefault="008F1574" w:rsidP="00877419">
      <w:pPr>
        <w:pStyle w:val="PargrafodaLista"/>
        <w:ind w:left="0"/>
        <w:contextualSpacing w:val="0"/>
      </w:pPr>
      <w:r>
        <w:t>Opinou a Procuradoria-Geral de Justiça pelo conhecimento e denegação da ordem (evento 18.1).</w:t>
      </w:r>
    </w:p>
    <w:p w:rsidR="008F1574" w:rsidRDefault="008F1574" w:rsidP="00877419">
      <w:pPr>
        <w:pStyle w:val="PargrafodaLista"/>
        <w:ind w:left="0"/>
        <w:contextualSpacing w:val="0"/>
      </w:pPr>
      <w:r>
        <w:t>É o necessário relato.</w:t>
      </w:r>
    </w:p>
    <w:p w:rsidR="00AA28DF" w:rsidRDefault="00AA28DF" w:rsidP="00877419">
      <w:pPr>
        <w:pStyle w:val="PargrafodaLista"/>
        <w:ind w:left="0"/>
        <w:contextualSpacing w:val="0"/>
      </w:pPr>
    </w:p>
    <w:p w:rsidR="00AA28DF" w:rsidRPr="00AA28DF" w:rsidRDefault="00AA28DF" w:rsidP="00877419">
      <w:pPr>
        <w:pStyle w:val="PargrafodaLista"/>
        <w:ind w:left="0"/>
        <w:contextualSpacing w:val="0"/>
        <w:rPr>
          <w:b/>
        </w:rPr>
      </w:pPr>
      <w:bookmarkStart w:id="0" w:name="_GoBack"/>
      <w:r w:rsidRPr="00AA28DF">
        <w:rPr>
          <w:b/>
        </w:rPr>
        <w:t>II – VOTO E SUA FUNDAMENTAÇÃO</w:t>
      </w:r>
    </w:p>
    <w:p w:rsidR="00AA28DF" w:rsidRDefault="00AA28DF" w:rsidP="00877419">
      <w:pPr>
        <w:pStyle w:val="PargrafodaLista"/>
        <w:ind w:left="0"/>
        <w:contextualSpacing w:val="0"/>
      </w:pPr>
      <w:proofErr w:type="spellStart"/>
      <w:r>
        <w:t>II.I</w:t>
      </w:r>
      <w:proofErr w:type="spellEnd"/>
      <w:r>
        <w:t xml:space="preserve"> – DO JUÍZO DE ADMISSIBILIDADE</w:t>
      </w:r>
    </w:p>
    <w:p w:rsidR="008F1574" w:rsidRDefault="00947B4B" w:rsidP="00877419">
      <w:pPr>
        <w:pStyle w:val="PargrafodaLista"/>
        <w:ind w:left="0"/>
        <w:contextualSpacing w:val="0"/>
      </w:pPr>
      <w:r>
        <w:t>Satisfeitos os pressupostos processuais respectivos, conhece-se da impetração.</w:t>
      </w:r>
    </w:p>
    <w:p w:rsidR="00947B4B" w:rsidRDefault="00947B4B" w:rsidP="00877419">
      <w:pPr>
        <w:pStyle w:val="PargrafodaLista"/>
        <w:ind w:left="0"/>
        <w:contextualSpacing w:val="0"/>
      </w:pPr>
    </w:p>
    <w:p w:rsidR="008F1574" w:rsidRDefault="008F1574" w:rsidP="00877419">
      <w:pPr>
        <w:pStyle w:val="PargrafodaLista"/>
        <w:ind w:left="0"/>
        <w:contextualSpacing w:val="0"/>
      </w:pPr>
      <w:proofErr w:type="spellStart"/>
      <w:r>
        <w:t>II.II</w:t>
      </w:r>
      <w:proofErr w:type="spellEnd"/>
      <w:r>
        <w:t xml:space="preserve"> – DO CONSTRANGIMENTO ILEGAL</w:t>
      </w:r>
    </w:p>
    <w:p w:rsidR="008F1574" w:rsidRDefault="000934F2" w:rsidP="00877419">
      <w:pPr>
        <w:pStyle w:val="PargrafodaLista"/>
        <w:ind w:left="0"/>
        <w:contextualSpacing w:val="0"/>
      </w:pPr>
      <w:r>
        <w:t>Cinge-se a controvérsia à pretensão de cessação de constrangimento ilegal decorrente de internação provisória aplicada em desfavor de adolescente, em razão da prática de ato infracional análogo ao crime de tráfico ilícito de entorpecentes.</w:t>
      </w:r>
    </w:p>
    <w:p w:rsidR="00947B4B" w:rsidRDefault="007C6077" w:rsidP="00877419">
      <w:pPr>
        <w:pStyle w:val="PargrafodaLista"/>
        <w:ind w:left="0"/>
        <w:contextualSpacing w:val="0"/>
      </w:pPr>
      <w:r>
        <w:t>Sustenta a defesa a inviabilidade legal da internação, porquanto alheia às hipóteses permissivas do artigo 122 do Estatuto da Criança e do Adolescente.</w:t>
      </w:r>
    </w:p>
    <w:p w:rsidR="007C6077" w:rsidRDefault="007C6077" w:rsidP="00877419">
      <w:pPr>
        <w:pStyle w:val="PargrafodaLista"/>
        <w:ind w:left="0"/>
        <w:contextualSpacing w:val="0"/>
      </w:pPr>
      <w:r>
        <w:t>Ocorre que, no caso concreto, a pertinência da medida encontra-se lastreada no disposto nos artigos 108 e 174, do sobredito diploma legislativo, que preveem a possiblidade de internação provisória ante demonstração de imperiosa necessidade de privação de liberdade, se essencial para garantia da ordem pública ou da própria segurança pessoal do adolescente.</w:t>
      </w:r>
    </w:p>
    <w:p w:rsidR="007C6077" w:rsidRDefault="007C6077" w:rsidP="00877419">
      <w:pPr>
        <w:pStyle w:val="PargrafodaLista"/>
        <w:ind w:left="0"/>
        <w:contextualSpacing w:val="0"/>
      </w:pPr>
      <w:r>
        <w:t>A propósito, eis a jurisprudência desta colenda Câmara:</w:t>
      </w:r>
    </w:p>
    <w:p w:rsidR="007C6077" w:rsidRDefault="007C6077" w:rsidP="00877419">
      <w:pPr>
        <w:pStyle w:val="PargrafodaLista"/>
        <w:ind w:left="0"/>
        <w:contextualSpacing w:val="0"/>
      </w:pPr>
    </w:p>
    <w:p w:rsidR="00947B4B" w:rsidRDefault="00947B4B" w:rsidP="000934F2">
      <w:pPr>
        <w:pStyle w:val="PargrafodaLista"/>
        <w:spacing w:before="600" w:after="600"/>
        <w:ind w:left="2268" w:firstLine="0"/>
        <w:contextualSpacing w:val="0"/>
        <w:rPr>
          <w:sz w:val="20"/>
        </w:rPr>
      </w:pPr>
      <w:r w:rsidRPr="000934F2">
        <w:rPr>
          <w:sz w:val="20"/>
        </w:rPr>
        <w:t xml:space="preserve">HABEAS CORPUS – </w:t>
      </w:r>
      <w:r w:rsidR="000934F2">
        <w:rPr>
          <w:sz w:val="20"/>
        </w:rPr>
        <w:t xml:space="preserve">ATO INFRACIONAL EQUIPARADO AO CRIME DE TRÁFICO DE DROGAS </w:t>
      </w:r>
      <w:r w:rsidRPr="000934F2">
        <w:rPr>
          <w:sz w:val="20"/>
        </w:rPr>
        <w:t xml:space="preserve">– DECRETAÇÃO DA INTERNAÇÃO PROVISÓRIA – </w:t>
      </w:r>
      <w:r w:rsidR="000934F2">
        <w:rPr>
          <w:sz w:val="20"/>
        </w:rPr>
        <w:t>FUNDAMENTAÇÃO</w:t>
      </w:r>
      <w:r w:rsidRPr="000934F2">
        <w:rPr>
          <w:sz w:val="20"/>
        </w:rPr>
        <w:t xml:space="preserve"> ADEQUADA – PRESENÇA DOS PRESSUPOSTOS E REQUISITOS DO </w:t>
      </w:r>
      <w:proofErr w:type="spellStart"/>
      <w:r w:rsidRPr="000934F2">
        <w:rPr>
          <w:sz w:val="20"/>
        </w:rPr>
        <w:t>ART</w:t>
      </w:r>
      <w:r w:rsidR="000934F2">
        <w:rPr>
          <w:sz w:val="20"/>
        </w:rPr>
        <w:t>S</w:t>
      </w:r>
      <w:proofErr w:type="spellEnd"/>
      <w:r w:rsidRPr="000934F2">
        <w:rPr>
          <w:sz w:val="20"/>
        </w:rPr>
        <w:t xml:space="preserve">. 108 DO </w:t>
      </w:r>
      <w:r w:rsidR="000934F2">
        <w:rPr>
          <w:sz w:val="20"/>
        </w:rPr>
        <w:t>ECA – PROVA DA MATERIALIDADE E I</w:t>
      </w:r>
      <w:r w:rsidRPr="000934F2">
        <w:rPr>
          <w:sz w:val="20"/>
        </w:rPr>
        <w:t xml:space="preserve">NDÍCIOS SUFICIENTES DA AUTORIA – GRANDE QUANTIDADE DE DROGA APREENDIDA (25 QUILOGRAMAS DE MACONHA) – SITUAÇÃO DE RISCO EVIDENCIADA PELAS </w:t>
      </w:r>
      <w:r w:rsidR="000934F2" w:rsidRPr="000934F2">
        <w:rPr>
          <w:sz w:val="20"/>
        </w:rPr>
        <w:t>CIRCUNSTÂNCIAS</w:t>
      </w:r>
      <w:r w:rsidRPr="000934F2">
        <w:rPr>
          <w:sz w:val="20"/>
        </w:rPr>
        <w:t xml:space="preserve"> DO ATO INFRACIONAL – A DESPEITO DA AUSÊNCIA DAS CONDIÇÕES DO ROL TAXATIVO DO ARTIGO 122 DO ECA, IMPERIOSA NECESSIDADE DA MEDIDA DE INTERNAÇÃO PARA GARANTIA DA ORDEM PÚBLICA E, SOBRETUDO, </w:t>
      </w:r>
      <w:r w:rsidR="000934F2">
        <w:rPr>
          <w:sz w:val="20"/>
        </w:rPr>
        <w:t>D</w:t>
      </w:r>
      <w:r w:rsidRPr="000934F2">
        <w:rPr>
          <w:sz w:val="20"/>
        </w:rPr>
        <w:t xml:space="preserve">A SEGURANÇA PESSOAL DA ADOLESCENTE – INTELIGÊNCIA DO ART. 174 DO ECA. </w:t>
      </w:r>
      <w:r w:rsidR="000934F2">
        <w:rPr>
          <w:sz w:val="20"/>
        </w:rPr>
        <w:t xml:space="preserve">HABEAS CORPUS DENEGADO. </w:t>
      </w:r>
      <w:r w:rsidRPr="000934F2">
        <w:rPr>
          <w:sz w:val="20"/>
        </w:rPr>
        <w:t>(</w:t>
      </w:r>
      <w:proofErr w:type="spellStart"/>
      <w:r w:rsidRPr="000934F2">
        <w:rPr>
          <w:sz w:val="20"/>
        </w:rPr>
        <w:t>TJPR</w:t>
      </w:r>
      <w:proofErr w:type="spellEnd"/>
      <w:r w:rsidR="000934F2">
        <w:rPr>
          <w:sz w:val="20"/>
        </w:rPr>
        <w:t xml:space="preserve">. </w:t>
      </w:r>
      <w:r w:rsidRPr="000934F2">
        <w:rPr>
          <w:sz w:val="20"/>
        </w:rPr>
        <w:t>2ª Câmara Criminal</w:t>
      </w:r>
      <w:r w:rsidR="000934F2">
        <w:rPr>
          <w:sz w:val="20"/>
        </w:rPr>
        <w:t xml:space="preserve">. Relatora: Desembargadora Substituta </w:t>
      </w:r>
      <w:proofErr w:type="spellStart"/>
      <w:r w:rsidR="000934F2">
        <w:rPr>
          <w:sz w:val="20"/>
        </w:rPr>
        <w:t>Angela</w:t>
      </w:r>
      <w:proofErr w:type="spellEnd"/>
      <w:r w:rsidR="000934F2">
        <w:rPr>
          <w:sz w:val="20"/>
        </w:rPr>
        <w:t xml:space="preserve"> </w:t>
      </w:r>
      <w:proofErr w:type="spellStart"/>
      <w:r w:rsidR="000934F2">
        <w:rPr>
          <w:sz w:val="20"/>
        </w:rPr>
        <w:t>Ramina</w:t>
      </w:r>
      <w:proofErr w:type="spellEnd"/>
      <w:r w:rsidR="000934F2">
        <w:rPr>
          <w:sz w:val="20"/>
        </w:rPr>
        <w:t xml:space="preserve"> de </w:t>
      </w:r>
      <w:proofErr w:type="spellStart"/>
      <w:r w:rsidR="000934F2">
        <w:rPr>
          <w:sz w:val="20"/>
        </w:rPr>
        <w:t>Lucca</w:t>
      </w:r>
      <w:proofErr w:type="spellEnd"/>
      <w:r w:rsidR="000934F2">
        <w:rPr>
          <w:sz w:val="20"/>
        </w:rPr>
        <w:t xml:space="preserve">. </w:t>
      </w:r>
      <w:r w:rsidRPr="000934F2">
        <w:rPr>
          <w:sz w:val="20"/>
        </w:rPr>
        <w:t>0056115-83.2024.8.16.0000</w:t>
      </w:r>
      <w:r w:rsidR="000934F2">
        <w:rPr>
          <w:sz w:val="20"/>
        </w:rPr>
        <w:t>. Curitiba. Data de Julgamento: 24-06-2024).</w:t>
      </w:r>
    </w:p>
    <w:p w:rsidR="007C6077" w:rsidRDefault="007C6077" w:rsidP="000934F2">
      <w:pPr>
        <w:pStyle w:val="PargrafodaLista"/>
        <w:spacing w:before="600" w:after="600"/>
        <w:ind w:left="2268" w:firstLine="0"/>
        <w:contextualSpacing w:val="0"/>
        <w:rPr>
          <w:sz w:val="20"/>
        </w:rPr>
      </w:pPr>
    </w:p>
    <w:p w:rsidR="000934F2" w:rsidRDefault="00947B4B" w:rsidP="000934F2">
      <w:pPr>
        <w:pStyle w:val="PargrafodaLista"/>
        <w:spacing w:before="600" w:after="600"/>
        <w:ind w:left="2268" w:firstLine="0"/>
        <w:contextualSpacing w:val="0"/>
        <w:rPr>
          <w:sz w:val="20"/>
        </w:rPr>
      </w:pPr>
      <w:r w:rsidRPr="000934F2">
        <w:rPr>
          <w:sz w:val="20"/>
        </w:rPr>
        <w:t xml:space="preserve">HABEAS CORPUS. ECA. ATO INFRACIONAL ANÁLOGO AO CRIME DE TRÁFICO ILÍCITO DE ENTORPECENTES (ARTIGO 33, CAPUT, DA LEI Nº 11.343/2006) E PORTE ILEGAL DE ARMA DE FOGO COM NUMERAÇÃO SUPRIMIDA (ARTIGO 16, § 1º, INCISO I, DA LEI Nº 10.826/03). DECRETAÇÃO DA INTERNAÇÃO PROVISÓRIA DOS PACIENTES. INSURGÊNCIA DA DEFESA. CONSTRANGIMENTO ILEGAL NÃO EVIDENCIADO. FUNDAMENTAÇÃO IDÔNEA. QUANTIDADE EXPRESSIVA DE ENTORPECENTES ENCONTRADA EM POSSE DO ADOLESCENTE. NECESSIDADE DE IMPOSIÇÃO DA MEDIDA EXTREMA COMO FORMA DE MANUTENÇÃO DA ORDEM PÚBLICA E DA SEGURANÇA PESSOAL DOS ADOLESCENTES. VULNERABILIDADE EXTREMA. APLICAÇÃO DOS </w:t>
      </w:r>
      <w:proofErr w:type="spellStart"/>
      <w:r w:rsidRPr="000934F2">
        <w:rPr>
          <w:sz w:val="20"/>
        </w:rPr>
        <w:t>ARTS</w:t>
      </w:r>
      <w:proofErr w:type="spellEnd"/>
      <w:r w:rsidRPr="000934F2">
        <w:rPr>
          <w:sz w:val="20"/>
        </w:rPr>
        <w:t>. 108 E 174, AMBOS DO ECA. PECULIARIDADES DO CASO CONCRETO. IMPETRAÇÃO CONHECIDA E ORDEM DENEGADA.</w:t>
      </w:r>
      <w:r w:rsidR="000934F2">
        <w:rPr>
          <w:sz w:val="20"/>
        </w:rPr>
        <w:t xml:space="preserve"> </w:t>
      </w:r>
      <w:r w:rsidRPr="000934F2">
        <w:rPr>
          <w:sz w:val="20"/>
        </w:rPr>
        <w:t>(</w:t>
      </w:r>
      <w:proofErr w:type="spellStart"/>
      <w:r w:rsidRPr="000934F2">
        <w:rPr>
          <w:sz w:val="20"/>
        </w:rPr>
        <w:t>TJPR</w:t>
      </w:r>
      <w:proofErr w:type="spellEnd"/>
      <w:r w:rsidR="000934F2">
        <w:rPr>
          <w:sz w:val="20"/>
        </w:rPr>
        <w:t xml:space="preserve">. </w:t>
      </w:r>
      <w:r w:rsidRPr="000934F2">
        <w:rPr>
          <w:sz w:val="20"/>
        </w:rPr>
        <w:t>2ª Câmara Criminal</w:t>
      </w:r>
      <w:r w:rsidR="000934F2">
        <w:rPr>
          <w:sz w:val="20"/>
        </w:rPr>
        <w:t xml:space="preserve">. Relatora: Desembargadora Priscilla </w:t>
      </w:r>
      <w:proofErr w:type="spellStart"/>
      <w:r w:rsidR="000934F2">
        <w:rPr>
          <w:sz w:val="20"/>
        </w:rPr>
        <w:t>Placha</w:t>
      </w:r>
      <w:proofErr w:type="spellEnd"/>
      <w:r w:rsidR="000934F2">
        <w:rPr>
          <w:sz w:val="20"/>
        </w:rPr>
        <w:t xml:space="preserve"> Sá. </w:t>
      </w:r>
      <w:r w:rsidRPr="000934F2">
        <w:rPr>
          <w:sz w:val="20"/>
        </w:rPr>
        <w:t>0056745-42.2024.8.16.0000</w:t>
      </w:r>
      <w:r w:rsidR="000934F2">
        <w:rPr>
          <w:sz w:val="20"/>
        </w:rPr>
        <w:t>.</w:t>
      </w:r>
      <w:r w:rsidRPr="000934F2">
        <w:rPr>
          <w:sz w:val="20"/>
        </w:rPr>
        <w:t xml:space="preserve"> Marmeleiro</w:t>
      </w:r>
      <w:r w:rsidR="000934F2">
        <w:rPr>
          <w:sz w:val="20"/>
        </w:rPr>
        <w:t>. Data de Julgamento: 08-07-2024).</w:t>
      </w:r>
    </w:p>
    <w:p w:rsidR="007C6077" w:rsidRDefault="007C6077" w:rsidP="000934F2">
      <w:pPr>
        <w:pStyle w:val="PargrafodaLista"/>
        <w:spacing w:before="600" w:after="600"/>
        <w:ind w:left="2268" w:firstLine="0"/>
        <w:contextualSpacing w:val="0"/>
        <w:rPr>
          <w:sz w:val="20"/>
        </w:rPr>
      </w:pPr>
    </w:p>
    <w:p w:rsidR="000934F2" w:rsidRDefault="000934F2" w:rsidP="000934F2">
      <w:pPr>
        <w:pStyle w:val="PargrafodaLista"/>
        <w:spacing w:before="600" w:after="600"/>
        <w:ind w:left="2268" w:firstLine="0"/>
        <w:contextualSpacing w:val="0"/>
        <w:rPr>
          <w:sz w:val="20"/>
        </w:rPr>
      </w:pPr>
      <w:r w:rsidRPr="000934F2">
        <w:rPr>
          <w:sz w:val="20"/>
        </w:rPr>
        <w:t>HABEAS CORPUS ECA. ATOS INFRACIONAIS EQUIPARADOS AOS DELITOS DE TRÁFICO DE DROGAS E ASSOCIAÇÃO PARA O TRÁFICO (</w:t>
      </w:r>
      <w:proofErr w:type="spellStart"/>
      <w:r w:rsidRPr="000934F2">
        <w:rPr>
          <w:sz w:val="20"/>
        </w:rPr>
        <w:t>ARTS</w:t>
      </w:r>
      <w:proofErr w:type="spellEnd"/>
      <w:r w:rsidRPr="000934F2">
        <w:rPr>
          <w:sz w:val="20"/>
        </w:rPr>
        <w:t xml:space="preserve">. 33, CAPUT E 35 DA LEI 11.343/2006). DECISÃO QUE DECRETOU A INTERNAÇÃO PROVISÓRIA DA ADOLESCENTE. TESE DEFENSIVA DE DESCABIMENTO DA MEDIDA. NÃO ACOLHIMENTO. INDÍCIOS SUFICIENTES DE AUTORIA E MATERIALIDADE INFRACIONAIS. PREENCHIMENTO DOS CRITÉRIOS COMPREENDIDOS COMO NECESSÁRIOS À ÓTICA DOS </w:t>
      </w:r>
      <w:proofErr w:type="spellStart"/>
      <w:r w:rsidRPr="000934F2">
        <w:rPr>
          <w:sz w:val="20"/>
        </w:rPr>
        <w:t>ARTS</w:t>
      </w:r>
      <w:proofErr w:type="spellEnd"/>
      <w:r w:rsidRPr="000934F2">
        <w:rPr>
          <w:sz w:val="20"/>
        </w:rPr>
        <w:t>. 108 E 174 DO ECA. DEMONSTRAÇÃO DA NECESSIDADE IMPERIOSA DA MEDIDA. CONSTRANGIMENTO ILEGAL NÃO VISLUMBRADO. HABEAS CORPUS CONHECIDO E ORDEM DENEGADA.</w:t>
      </w:r>
      <w:r>
        <w:rPr>
          <w:sz w:val="20"/>
        </w:rPr>
        <w:t xml:space="preserve"> </w:t>
      </w:r>
      <w:r w:rsidRPr="000934F2">
        <w:rPr>
          <w:sz w:val="20"/>
        </w:rPr>
        <w:t>(</w:t>
      </w:r>
      <w:proofErr w:type="spellStart"/>
      <w:r w:rsidRPr="000934F2">
        <w:rPr>
          <w:sz w:val="20"/>
        </w:rPr>
        <w:t>TJPR</w:t>
      </w:r>
      <w:proofErr w:type="spellEnd"/>
      <w:r>
        <w:rPr>
          <w:sz w:val="20"/>
        </w:rPr>
        <w:t>.</w:t>
      </w:r>
      <w:r w:rsidRPr="000934F2">
        <w:rPr>
          <w:sz w:val="20"/>
        </w:rPr>
        <w:t xml:space="preserve"> 2ª Câmara Criminal</w:t>
      </w:r>
      <w:r>
        <w:rPr>
          <w:sz w:val="20"/>
        </w:rPr>
        <w:t xml:space="preserve">. Relator: Desembargador </w:t>
      </w:r>
      <w:proofErr w:type="spellStart"/>
      <w:r>
        <w:rPr>
          <w:sz w:val="20"/>
        </w:rPr>
        <w:t>Joscelito</w:t>
      </w:r>
      <w:proofErr w:type="spellEnd"/>
      <w:r>
        <w:rPr>
          <w:sz w:val="20"/>
        </w:rPr>
        <w:t xml:space="preserve"> Giovani Ce. </w:t>
      </w:r>
      <w:r w:rsidRPr="000934F2">
        <w:rPr>
          <w:sz w:val="20"/>
        </w:rPr>
        <w:t>0052490-41.2024.8.16.0000</w:t>
      </w:r>
      <w:r>
        <w:rPr>
          <w:sz w:val="20"/>
        </w:rPr>
        <w:t>.</w:t>
      </w:r>
      <w:r w:rsidRPr="000934F2">
        <w:rPr>
          <w:sz w:val="20"/>
        </w:rPr>
        <w:t xml:space="preserve"> Quedas do Iguaçu</w:t>
      </w:r>
      <w:r>
        <w:rPr>
          <w:sz w:val="20"/>
        </w:rPr>
        <w:t>. Data de Julgamento: 08-07-2024).</w:t>
      </w:r>
    </w:p>
    <w:p w:rsidR="008F1574" w:rsidRDefault="007C6077" w:rsidP="00877419">
      <w:pPr>
        <w:pStyle w:val="PargrafodaLista"/>
        <w:ind w:left="0"/>
        <w:contextualSpacing w:val="0"/>
      </w:pPr>
      <w:r>
        <w:t>No caso dos autos, a presença de indícios suficientes de autoria e materialidade é absolutamente inconteste. Além da situação de flagrância, o adolescente confessou a prática de atos de venda ilícita de cocaína desde a audiência de apresentação (evento 13.5 – autos de origem).</w:t>
      </w:r>
    </w:p>
    <w:p w:rsidR="008B5ECF" w:rsidRDefault="007C6077" w:rsidP="00877419">
      <w:pPr>
        <w:pStyle w:val="PargrafodaLista"/>
        <w:ind w:left="0"/>
        <w:contextualSpacing w:val="0"/>
      </w:pPr>
      <w:r>
        <w:t xml:space="preserve">De outro vértice, o mesmo ato processual fornece elementos informativos indicativos do risco concreto à ordem pública e à </w:t>
      </w:r>
      <w:r w:rsidR="008B5ECF">
        <w:t xml:space="preserve">segurança pessoal do adolescente. Sobre o primeiro requisito, as consignações e do adolescente revelam evidente reiteração da prática ilícita. Em relação ao segundo, a condição de </w:t>
      </w:r>
      <w:proofErr w:type="spellStart"/>
      <w:r w:rsidR="008B5ECF">
        <w:t>adicção</w:t>
      </w:r>
      <w:proofErr w:type="spellEnd"/>
      <w:r w:rsidR="008B5ECF">
        <w:t xml:space="preserve"> em substâncias entorpecentes sobreleva o risco de reiteração infracional e dos efeitos clínicos e sociais decorrentes. Assim, a medida encontra-se justificada na premente necessidade de apartar o adolescente do meio criminoso em que está inserido, enquanto </w:t>
      </w:r>
      <w:r w:rsidR="00622F24">
        <w:t>são criadas condições para sua ressocialização e tratamento de sua condição clínica.</w:t>
      </w:r>
    </w:p>
    <w:p w:rsidR="00622F24" w:rsidRDefault="00622F24" w:rsidP="00877419">
      <w:pPr>
        <w:pStyle w:val="PargrafodaLista"/>
        <w:ind w:left="0"/>
        <w:contextualSpacing w:val="0"/>
      </w:pPr>
      <w:r>
        <w:t>Entrementes, destaca-se que a medida possui caráter temporário e se presta à preservação das garantias pessoais do adolescente (</w:t>
      </w:r>
      <w:proofErr w:type="spellStart"/>
      <w:r>
        <w:t>CRFB</w:t>
      </w:r>
      <w:proofErr w:type="spellEnd"/>
      <w:r>
        <w:t>, art. 227), não ostentando natureza repressiva.</w:t>
      </w:r>
    </w:p>
    <w:p w:rsidR="008B5ECF" w:rsidRDefault="008B5ECF" w:rsidP="00877419">
      <w:pPr>
        <w:pStyle w:val="PargrafodaLista"/>
        <w:ind w:left="0"/>
        <w:contextualSpacing w:val="0"/>
      </w:pPr>
      <w:r>
        <w:t>Nesse</w:t>
      </w:r>
      <w:r w:rsidR="00622F24">
        <w:t xml:space="preserve"> contexto</w:t>
      </w:r>
      <w:r>
        <w:t xml:space="preserve">, não se vislumbra constrangimento ilegal a macular a internação provisória determinada pelo juízo </w:t>
      </w:r>
      <w:r>
        <w:rPr>
          <w:i/>
        </w:rPr>
        <w:t>a quo</w:t>
      </w:r>
      <w:r>
        <w:t>, associada à tratamento ambulatorial para tratamento clínico da condição de dependência química relatada pelo adolescente enunciada pelo paciente (evento 47.1 – autos de origem).</w:t>
      </w:r>
    </w:p>
    <w:p w:rsidR="00622F24" w:rsidRDefault="00622F24" w:rsidP="00877419">
      <w:pPr>
        <w:pStyle w:val="PargrafodaLista"/>
        <w:ind w:left="0"/>
        <w:contextualSpacing w:val="0"/>
      </w:pPr>
    </w:p>
    <w:p w:rsidR="00AA28DF" w:rsidRDefault="008F1574" w:rsidP="00877419">
      <w:pPr>
        <w:pStyle w:val="PargrafodaLista"/>
        <w:ind w:left="0"/>
        <w:contextualSpacing w:val="0"/>
      </w:pPr>
      <w:proofErr w:type="spellStart"/>
      <w:r>
        <w:t>II.III</w:t>
      </w:r>
      <w:proofErr w:type="spellEnd"/>
      <w:r>
        <w:t xml:space="preserve"> – DA CONCLUSÃO</w:t>
      </w:r>
    </w:p>
    <w:p w:rsidR="00AA28DF" w:rsidRPr="008F1574" w:rsidRDefault="00AA28DF" w:rsidP="00877419">
      <w:pPr>
        <w:pStyle w:val="PargrafodaLista"/>
        <w:ind w:left="0"/>
        <w:contextualSpacing w:val="0"/>
      </w:pPr>
      <w:r>
        <w:t>Pela conjugação das premissas deduzidas, a conclusão a ser adota</w:t>
      </w:r>
      <w:r w:rsidR="00DC37B4">
        <w:t>da</w:t>
      </w:r>
      <w:r>
        <w:t xml:space="preserve"> consiste </w:t>
      </w:r>
      <w:r w:rsidR="008F1574">
        <w:t xml:space="preserve">em conhecer e denegar </w:t>
      </w:r>
      <w:r w:rsidR="00947B4B">
        <w:t>a ordem de</w:t>
      </w:r>
      <w:r w:rsidR="008F1574">
        <w:t xml:space="preserve"> </w:t>
      </w:r>
      <w:r w:rsidR="008F1574">
        <w:rPr>
          <w:i/>
        </w:rPr>
        <w:t>habeas corpus</w:t>
      </w:r>
      <w:r w:rsidR="008F1574">
        <w:t>.</w:t>
      </w:r>
    </w:p>
    <w:p w:rsidR="00AA28DF" w:rsidRDefault="00AA28DF" w:rsidP="00877419">
      <w:pPr>
        <w:pStyle w:val="PargrafodaLista"/>
        <w:ind w:left="0"/>
        <w:contextualSpacing w:val="0"/>
      </w:pPr>
      <w:r>
        <w:t>É como voto.</w:t>
      </w:r>
    </w:p>
    <w:p w:rsidR="00AA28DF" w:rsidRDefault="00AA28DF" w:rsidP="00877419">
      <w:pPr>
        <w:pStyle w:val="PargrafodaLista"/>
        <w:ind w:left="0"/>
        <w:contextualSpacing w:val="0"/>
      </w:pPr>
    </w:p>
    <w:p w:rsidR="00AA28DF" w:rsidRPr="00AA28DF" w:rsidRDefault="00877419" w:rsidP="00877419">
      <w:pPr>
        <w:pStyle w:val="PargrafodaLista"/>
        <w:ind w:left="0"/>
        <w:contextualSpacing w:val="0"/>
        <w:rPr>
          <w:b/>
        </w:rPr>
      </w:pPr>
      <w:proofErr w:type="spellStart"/>
      <w:r>
        <w:rPr>
          <w:b/>
        </w:rPr>
        <w:t>III</w:t>
      </w:r>
      <w:proofErr w:type="spellEnd"/>
      <w:r>
        <w:rPr>
          <w:b/>
        </w:rPr>
        <w:t xml:space="preserve"> </w:t>
      </w:r>
      <w:r w:rsidR="008F1574">
        <w:rPr>
          <w:b/>
        </w:rPr>
        <w:t>–</w:t>
      </w:r>
      <w:r>
        <w:rPr>
          <w:b/>
        </w:rPr>
        <w:t xml:space="preserve"> DECISÃO</w:t>
      </w:r>
      <w:bookmarkEnd w:id="0"/>
    </w:p>
    <w:sectPr w:rsidR="00AA28DF" w:rsidRPr="00AA28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B81E31"/>
    <w:multiLevelType w:val="hybridMultilevel"/>
    <w:tmpl w:val="C55E378C"/>
    <w:lvl w:ilvl="0" w:tplc="99A60AC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942"/>
    <w:rsid w:val="000934F2"/>
    <w:rsid w:val="00165C47"/>
    <w:rsid w:val="00622F24"/>
    <w:rsid w:val="00672942"/>
    <w:rsid w:val="007C6077"/>
    <w:rsid w:val="00877419"/>
    <w:rsid w:val="008B5ECF"/>
    <w:rsid w:val="008F1574"/>
    <w:rsid w:val="00947B4B"/>
    <w:rsid w:val="00AA28DF"/>
    <w:rsid w:val="00AE47D1"/>
    <w:rsid w:val="00D44260"/>
    <w:rsid w:val="00DC37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AFDE"/>
  <w15:chartTrackingRefBased/>
  <w15:docId w15:val="{E71B5493-078B-43B1-8B3D-80B00A759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C47"/>
    <w:pPr>
      <w:spacing w:after="240" w:line="360" w:lineRule="auto"/>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tulodoLivro">
    <w:name w:val="Book Title"/>
    <w:aliases w:val="Titulo 1"/>
    <w:basedOn w:val="Fontepargpadro"/>
    <w:uiPriority w:val="33"/>
    <w:qFormat/>
    <w:rsid w:val="00165C47"/>
    <w:rPr>
      <w:rFonts w:ascii="Times New Roman" w:hAnsi="Times New Roman"/>
      <w:b/>
      <w:bCs/>
      <w:i w:val="0"/>
      <w:iCs/>
      <w:spacing w:val="5"/>
      <w:sz w:val="24"/>
    </w:rPr>
  </w:style>
  <w:style w:type="paragraph" w:styleId="SemEspaamento">
    <w:name w:val="No Spacing"/>
    <w:aliases w:val="Ementa"/>
    <w:uiPriority w:val="1"/>
    <w:qFormat/>
    <w:rsid w:val="00165C47"/>
    <w:pPr>
      <w:spacing w:after="360" w:line="360" w:lineRule="auto"/>
      <w:jc w:val="both"/>
    </w:pPr>
    <w:rPr>
      <w:rFonts w:ascii="Times New Roman" w:hAnsi="Times New Roman"/>
      <w:b/>
      <w:caps/>
      <w:sz w:val="24"/>
    </w:rPr>
  </w:style>
  <w:style w:type="paragraph" w:styleId="Citao">
    <w:name w:val="Quote"/>
    <w:basedOn w:val="Normal"/>
    <w:next w:val="Normal"/>
    <w:link w:val="CitaoChar"/>
    <w:uiPriority w:val="29"/>
    <w:qFormat/>
    <w:rsid w:val="00165C47"/>
    <w:pPr>
      <w:shd w:val="clear" w:color="auto" w:fill="FFFFFF"/>
      <w:spacing w:before="600" w:after="600"/>
      <w:ind w:left="2268"/>
    </w:pPr>
    <w:rPr>
      <w:rFonts w:eastAsia="Times New Roman" w:cs="Times New Roman"/>
      <w:spacing w:val="2"/>
      <w:sz w:val="20"/>
      <w:szCs w:val="30"/>
      <w:lang w:eastAsia="pt-BR"/>
    </w:rPr>
  </w:style>
  <w:style w:type="character" w:customStyle="1" w:styleId="CitaoChar">
    <w:name w:val="Citação Char"/>
    <w:basedOn w:val="Fontepargpadro"/>
    <w:link w:val="Citao"/>
    <w:uiPriority w:val="29"/>
    <w:rsid w:val="00165C47"/>
    <w:rPr>
      <w:rFonts w:ascii="Times New Roman" w:eastAsia="Times New Roman" w:hAnsi="Times New Roman" w:cs="Times New Roman"/>
      <w:spacing w:val="2"/>
      <w:sz w:val="20"/>
      <w:szCs w:val="30"/>
      <w:shd w:val="clear" w:color="auto" w:fill="FFFFFF"/>
      <w:lang w:eastAsia="pt-BR"/>
    </w:rPr>
  </w:style>
  <w:style w:type="paragraph" w:styleId="PargrafodaLista">
    <w:name w:val="List Paragraph"/>
    <w:basedOn w:val="Normal"/>
    <w:uiPriority w:val="34"/>
    <w:qFormat/>
    <w:rsid w:val="00AA2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A1D02B3-E792-44B6-A25E-894735674C36}"/>
</file>

<file path=customXml/itemProps2.xml><?xml version="1.0" encoding="utf-8"?>
<ds:datastoreItem xmlns:ds="http://schemas.openxmlformats.org/officeDocument/2006/customXml" ds:itemID="{74073D11-A70F-4AC7-A5D4-C3028304A2E3}"/>
</file>

<file path=customXml/itemProps3.xml><?xml version="1.0" encoding="utf-8"?>
<ds:datastoreItem xmlns:ds="http://schemas.openxmlformats.org/officeDocument/2006/customXml" ds:itemID="{0FC4C627-E1FB-4114-B33D-A0E558A66A5C}"/>
</file>

<file path=docProps/app.xml><?xml version="1.0" encoding="utf-8"?>
<Properties xmlns="http://schemas.openxmlformats.org/officeDocument/2006/extended-properties" xmlns:vt="http://schemas.openxmlformats.org/officeDocument/2006/docPropsVTypes">
  <Template>Normal</Template>
  <TotalTime>113</TotalTime>
  <Pages>1</Pages>
  <Words>1048</Words>
  <Characters>5665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6</cp:revision>
  <dcterms:created xsi:type="dcterms:W3CDTF">2024-02-08T17:42:00Z</dcterms:created>
  <dcterms:modified xsi:type="dcterms:W3CDTF">2024-07-16T18:08:00Z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351800</vt:r8>
  </property>
</Properties>
</file>