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66DAA6C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402C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DFDC437" w14:textId="3D1587E3" w:rsidR="00BB407D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</w:t>
      </w:r>
      <w:r w:rsidR="00BB4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conheceu e negou provimento ao agravo de instrumento.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161E7346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</w:t>
      </w:r>
      <w:r w:rsidR="00EA20C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7CF4DB06" w14:textId="507629BD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58836E90" w14:textId="3B3B8FC6" w:rsidR="005E09DC" w:rsidRPr="00A7415A" w:rsidRDefault="00BB407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CPC: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1.022.</w:t>
      </w:r>
    </w:p>
    <w:p w14:paraId="602C10E6" w14:textId="64D01153" w:rsidR="00EA20CD" w:rsidRPr="00491A12" w:rsidRDefault="00EA20CD" w:rsidP="00EA20C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Jurisprudência</w:t>
      </w:r>
    </w:p>
    <w:p w14:paraId="15912E36" w14:textId="77777777" w:rsidR="00EA20CD" w:rsidRPr="00491A12" w:rsidRDefault="00EA20CD" w:rsidP="00EA20C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27212A7" w14:textId="61D1E5A3" w:rsidR="00E43BF9" w:rsidRDefault="003F76F3" w:rsidP="00E43BF9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AF53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GMAD Placavel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Suprimentos para Moveis Ltda. em face de A. J. da Silva Móveis Ltda.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o v. acórdão proferido pela 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</w:t>
      </w:r>
      <w:r w:rsidR="00F2689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Câmara Cível do Tribunal de Justiça do Estado do Paraná, </w:t>
      </w:r>
      <w:r w:rsidR="00A5532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conheceu e negou provimento ao recurso de </w:t>
      </w:r>
      <w:r w:rsidR="00E43B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agravo de instrumento da ora embargante</w:t>
      </w:r>
      <w:r w:rsidR="00DC71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0943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35.1 – AI).</w:t>
      </w:r>
    </w:p>
    <w:p w14:paraId="730EE64F" w14:textId="5A3437B7" w:rsidR="002E433E" w:rsidRDefault="002E433E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</w:t>
      </w:r>
      <w:r w:rsidR="00887B6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consistente na ausência de deliberação sobre elemento de informação indicativo de liquidação voluntária da pessoa jurídica demandada, </w:t>
      </w:r>
      <w:r w:rsidR="00E05B0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autorizar sucessão processual pelos </w:t>
      </w:r>
      <w:r w:rsidR="00532B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respectivos sócios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1.1).</w:t>
      </w:r>
    </w:p>
    <w:p w14:paraId="057F0FCA" w14:textId="30EDB701" w:rsidR="00B84B87" w:rsidRDefault="00EA20C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Instad</w:t>
      </w:r>
      <w:r w:rsidR="00B84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a, a parte embargada deixou transcorrer, </w:t>
      </w:r>
      <w:r w:rsidR="00B84B8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in albis, </w:t>
      </w:r>
      <w:r w:rsidR="00B84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prazo para contrarrazões (evento 11).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89F2F2A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491A12">
        <w:rPr>
          <w:rFonts w:ascii="Times New Roman" w:eastAsia="Times New Roman" w:hAnsi="Times New Roman" w:cs="Times New Roman"/>
          <w:sz w:val="24"/>
          <w:szCs w:val="24"/>
          <w:lang w:eastAsia="pt-BR"/>
        </w:rPr>
        <w:t>o julgador não está obrigador a exaurir os argumentos deduzidos pelas partes, quando encontrar fundamento suficiente para a decisão.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83A2" w14:textId="77777777" w:rsidR="008D7C20" w:rsidRDefault="008D7C20" w:rsidP="00647C71">
      <w:pPr>
        <w:spacing w:after="0" w:line="240" w:lineRule="auto"/>
      </w:pPr>
      <w:r>
        <w:separator/>
      </w:r>
    </w:p>
  </w:endnote>
  <w:endnote w:type="continuationSeparator" w:id="0">
    <w:p w14:paraId="28686429" w14:textId="77777777" w:rsidR="008D7C20" w:rsidRDefault="008D7C20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DCBFD" w14:textId="77777777" w:rsidR="008D7C20" w:rsidRDefault="008D7C20" w:rsidP="00647C71">
      <w:pPr>
        <w:spacing w:after="0" w:line="240" w:lineRule="auto"/>
      </w:pPr>
      <w:r>
        <w:separator/>
      </w:r>
    </w:p>
  </w:footnote>
  <w:footnote w:type="continuationSeparator" w:id="0">
    <w:p w14:paraId="0EF9297B" w14:textId="77777777" w:rsidR="008D7C20" w:rsidRDefault="008D7C20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943C5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4F2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3904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33E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2C08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2BB4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87E81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2420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87B65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D7C20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32D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3C9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84B87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B407D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1AC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5B05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3BF9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0CD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26895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55E5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6FD2FC-14F0-4C0B-89C8-364D9F4DD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167</cp:revision>
  <cp:lastPrinted>2023-02-01T16:46:00Z</cp:lastPrinted>
  <dcterms:created xsi:type="dcterms:W3CDTF">2023-06-15T19:39:00Z</dcterms:created>
  <dcterms:modified xsi:type="dcterms:W3CDTF">2025-08-15T19:22:00Z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