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72CAD" w14:textId="292F8862" w:rsidR="000E6E40" w:rsidRPr="00A33BD4" w:rsidRDefault="00073A6D" w:rsidP="00A33B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PROCESSUAL CIVIL. EMBARGOS DE DECLARAÇÃO. </w:t>
      </w:r>
      <w:r w:rsidR="00A33BD4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 CÍVEL. ÔNUS DA SUCUMBÊNCIA. DISTRIBUIÇÃO. MULTA. PROPÓSITO DE PROTELAÇÃO.</w:t>
      </w:r>
    </w:p>
    <w:p w14:paraId="52C9D9D7" w14:textId="77777777" w:rsidR="000E6E40" w:rsidRPr="00A33B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1F864064" w14:textId="3421D031" w:rsidR="008205C3" w:rsidRPr="00A33BD4" w:rsidRDefault="000E6E40" w:rsidP="00A33B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073A6D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julgou des</w:t>
      </w:r>
      <w:r w:rsidR="009C15FA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provido</w:t>
      </w:r>
      <w:r w:rsidR="00A33BD4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apelação, estabelecendo a distribuição dos encargos da sucumbência em desacordo com a pretensão da parte ora embargante.</w:t>
      </w:r>
    </w:p>
    <w:p w14:paraId="17482947" w14:textId="4B15D15B" w:rsidR="000E6E40" w:rsidRPr="00A33B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1A7907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ÕES </w:t>
      </w: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 DISCUSSÃO</w:t>
      </w:r>
    </w:p>
    <w:p w14:paraId="2BB54080" w14:textId="77777777" w:rsidR="00A33BD4" w:rsidRPr="00A33BD4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II.I.</w:t>
      </w:r>
      <w:r w:rsidR="00A33BD4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Hipótese de omissão, consistente na ausência de pronunciamento sobre pretensão recursal de redistribuição dos ônus </w:t>
      </w:r>
      <w:proofErr w:type="spellStart"/>
      <w:r w:rsidR="00A33BD4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</w:t>
      </w:r>
      <w:proofErr w:type="spellEnd"/>
      <w:r w:rsidR="00A33BD4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sucumbência.</w:t>
      </w:r>
    </w:p>
    <w:p w14:paraId="3A22E1DC" w14:textId="77777777" w:rsidR="00A33BD4" w:rsidRPr="00A33BD4" w:rsidRDefault="00A33BD4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Aplicação de multa pela interposição de embargos de declaração com propósito meramente protelatório.</w:t>
      </w:r>
    </w:p>
    <w:p w14:paraId="12850568" w14:textId="77777777" w:rsidR="000E6E40" w:rsidRPr="00A33B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6DB8A2AB" w:rsidR="000E6E40" w:rsidRPr="00A33BD4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9C15FA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prestam-se a</w:t>
      </w:r>
      <w:r w:rsidR="000E6E40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esclarecer obscuridade, eliminar contradição, suprir omissão ou corrigir erro material, sendo defesa sua utilização como sucedâneo recursal para manifestação de mero inconformismo.</w:t>
      </w:r>
    </w:p>
    <w:p w14:paraId="2E4AE0AB" w14:textId="5F456C3C" w:rsidR="001A7907" w:rsidRPr="00A33BD4" w:rsidRDefault="00073A6D" w:rsidP="001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1A7907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simples interposição de embargos de declaração, sem comprovação </w:t>
      </w:r>
      <w:r w:rsidR="009C15FA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intenção de manifesta protelação</w:t>
      </w:r>
      <w:r w:rsidR="001A7907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não permite imposição da multa</w:t>
      </w:r>
      <w:r w:rsidR="00A33BD4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correlata.</w:t>
      </w:r>
    </w:p>
    <w:p w14:paraId="097D2F16" w14:textId="77777777" w:rsidR="000E6E40" w:rsidRPr="00A33B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760F44FC" w:rsidR="000E6E40" w:rsidRPr="00A33B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A33B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2D457791" w14:textId="5DFD4A77" w:rsidR="001A7907" w:rsidRPr="00A33BD4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Jurisprudência:</w:t>
      </w:r>
    </w:p>
    <w:p w14:paraId="0788E695" w14:textId="32C55C96" w:rsidR="00A33BD4" w:rsidRPr="00A33BD4" w:rsidRDefault="00A33BD4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33BD4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A33BD4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A33BD4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</w:t>
      </w:r>
      <w:r w:rsidRPr="00A33BD4">
        <w:rPr>
          <w:rFonts w:ascii="Times New Roman" w:hAnsi="Times New Roman" w:cs="Times New Roman"/>
          <w:b/>
          <w:sz w:val="24"/>
          <w:szCs w:val="24"/>
        </w:rPr>
        <w:t>;</w:t>
      </w:r>
    </w:p>
    <w:p w14:paraId="414CB25B" w14:textId="5D161235" w:rsidR="00A33BD4" w:rsidRPr="00A33BD4" w:rsidRDefault="00A33BD4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33BD4">
        <w:rPr>
          <w:rFonts w:ascii="Times New Roman" w:hAnsi="Times New Roman" w:cs="Times New Roman"/>
          <w:b/>
          <w:iCs/>
          <w:sz w:val="24"/>
          <w:szCs w:val="24"/>
        </w:rPr>
        <w:t>STJ. Terceira Turma. Relatora: Ministra Nancy Andrighi. REsp n. 1.423.942/SP. Data de julgamento: 26-09-2017. Data de publicação: 29-09-2017</w:t>
      </w:r>
      <w:r w:rsidRPr="00A33BD4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14:paraId="5FFB9405" w14:textId="062E8263" w:rsidR="001A7907" w:rsidRPr="00A33BD4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Legislação:</w:t>
      </w:r>
    </w:p>
    <w:p w14:paraId="69BC6DD2" w14:textId="6222F0F7" w:rsidR="000E6E40" w:rsidRPr="00A33BD4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A33BD4"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1.026, § 2º.</w:t>
      </w:r>
    </w:p>
    <w:p w14:paraId="1624D6D3" w14:textId="77777777" w:rsidR="003B44F2" w:rsidRPr="00A33BD4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Pr="00A33BD4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EA2CF84" w14:textId="2D6D7609" w:rsidR="00ED2172" w:rsidRPr="00A33BD4" w:rsidRDefault="003F76F3" w:rsidP="0080117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Cuida-se de embargos de declaração </w:t>
      </w:r>
      <w:r w:rsidR="00F179EC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536572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</w:t>
      </w:r>
      <w:r w:rsidR="0026149B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26149B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HRH</w:t>
      </w:r>
      <w:proofErr w:type="spellEnd"/>
      <w:r w:rsidR="0026149B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Ilha do Sol Empreendimentos Imobiliários SPE S. A. em face de Munhoz Pinto Negócios e Intermediações Ltda.</w:t>
      </w:r>
      <w:r w:rsidR="00801173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o venerando acórdão proferida pela </w:t>
      </w:r>
      <w:r w:rsidR="009C15FA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colenda</w:t>
      </w:r>
      <w:r w:rsidR="00073A6D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19ª Câmara Cível do Tribunal de Justiça do Estado do Paraná (evento 27.1 – ED).</w:t>
      </w:r>
    </w:p>
    <w:p w14:paraId="4E2F52C8" w14:textId="7D868645" w:rsidR="00073A6D" w:rsidRPr="00A33BD4" w:rsidRDefault="0080117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Sustentou a parte embargante, em síntese, </w:t>
      </w:r>
      <w:r w:rsidR="00A33BD4"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omissão por ausência de pronunciamento sobre seu pedido de redistribuição dos ônus da sucumbência (evento 1.1).</w:t>
      </w:r>
    </w:p>
    <w:p w14:paraId="03CBF409" w14:textId="7D5EA579" w:rsidR="00F179EC" w:rsidRPr="00A33BD4" w:rsidRDefault="00A33BD4" w:rsidP="00A33BD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parte embargada sustentou que o tema foi objeto de análise, não se configurando a omissão apontada, e que o recurso é meramente protelatório, o que enseja aplicação de multa (evento 10.1).</w:t>
      </w:r>
    </w:p>
    <w:p w14:paraId="4FEDC7FD" w14:textId="599F6632" w:rsidR="003F76F3" w:rsidRPr="00A33BD4" w:rsidRDefault="00F179E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Pr="00A33BD4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Pr="00A33BD4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II.I – DO JUÍZO DE ADMISSIBILIDADE</w:t>
      </w:r>
    </w:p>
    <w:p w14:paraId="22426A3C" w14:textId="0645D382" w:rsidR="00E71385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F179EC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interpostos</w:t>
      </w: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F242B5" w14:textId="77777777" w:rsidR="00E71385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5B55F024" w:rsidR="00E71385" w:rsidRPr="00A33BD4" w:rsidRDefault="000D5FE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DO MÉRITO </w:t>
      </w:r>
    </w:p>
    <w:p w14:paraId="42709DFA" w14:textId="7E2AFCF3" w:rsidR="000E6E40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</w:t>
      </w:r>
      <w:r w:rsidR="000E6E40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constata-se que a pretensão declaratória constitui evidente inconformismo com a solução jurídica adotada</w:t>
      </w:r>
      <w:r w:rsidR="009C15FA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, hipótese incompatível com o perfil normativo do art</w:t>
      </w:r>
      <w:r w:rsidR="00A33BD4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 w:rsidR="009C15FA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31DEA2DC" w14:textId="77777777" w:rsidR="00E71385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451AAB89" w14:textId="77777777" w:rsidR="00E71385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3389E7" w14:textId="77777777" w:rsidR="00E71385" w:rsidRPr="00A33BD4" w:rsidRDefault="00E71385" w:rsidP="00E71385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A33BD4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A33BD4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A33BD4">
        <w:rPr>
          <w:rFonts w:ascii="Times New Roman" w:hAnsi="Times New Roman" w:cs="Times New Roman"/>
          <w:sz w:val="20"/>
        </w:rPr>
        <w:t xml:space="preserve">2. A análise das razões recursais revela a pretensão da parte em alterar o resultado do decisum, o que é inviável nesta seara recursal. 3. Embargos de declaração rejeitados. (STJ. 1ª Seção. Relator: Ministro Mauro Campbell Marques. EDcl. no AgRg. nos </w:t>
      </w:r>
      <w:proofErr w:type="spellStart"/>
      <w:r w:rsidRPr="00A33BD4">
        <w:rPr>
          <w:rFonts w:ascii="Times New Roman" w:hAnsi="Times New Roman" w:cs="Times New Roman"/>
          <w:sz w:val="20"/>
        </w:rPr>
        <w:t>EAREsp</w:t>
      </w:r>
      <w:proofErr w:type="spellEnd"/>
      <w:r w:rsidRPr="00A33BD4">
        <w:rPr>
          <w:rFonts w:ascii="Times New Roman" w:hAnsi="Times New Roman" w:cs="Times New Roman"/>
          <w:sz w:val="20"/>
        </w:rPr>
        <w:t>. n. 620.940/RS. Data de Julgamento: 14-09-2016. Data de Publicação: 21-09-2016).</w:t>
      </w:r>
    </w:p>
    <w:p w14:paraId="26A8A013" w14:textId="77777777" w:rsidR="000E6E40" w:rsidRPr="00A33BD4" w:rsidRDefault="000E6E40" w:rsidP="001A7907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3FB76AE" w14:textId="484112FA" w:rsidR="00AC5279" w:rsidRPr="00A33BD4" w:rsidRDefault="00A33BD4" w:rsidP="000E6E4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Todas</w:t>
      </w:r>
      <w:r w:rsidR="000E6E40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teses jurídicas </w:t>
      </w:r>
      <w:r w:rsidR="00AC5279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veiculadas</w:t>
      </w:r>
      <w:r w:rsidR="000E6E40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objeto de percuciente análise e a decisão, exposta mediante fundamentação plena</w:t>
      </w:r>
      <w:r w:rsidR="00AC5279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nenhuma contradição, omissão, obscuridade ou erro material.</w:t>
      </w:r>
    </w:p>
    <w:p w14:paraId="5229F54D" w14:textId="2C77A608" w:rsidR="00AC5279" w:rsidRPr="00A33BD4" w:rsidRDefault="000E6E40" w:rsidP="00AC527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A simples leitura dos fundamentos do pronunciamento embargado, logicamente organizado pelos tópicos inscritos em seu relatório, viabiliza tal inferência.</w:t>
      </w:r>
    </w:p>
    <w:p w14:paraId="287A6DE3" w14:textId="1481ED16" w:rsidR="00A33BD4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Ausente, pois, propósito de colmatação do julgado</w:t>
      </w:r>
      <w:r w:rsidR="009C15FA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da matéria, não se </w:t>
      </w:r>
      <w:r w:rsidR="00A33BD4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acolhimento da pretensão recursal.</w:t>
      </w:r>
    </w:p>
    <w:p w14:paraId="49FAB5CD" w14:textId="77777777" w:rsidR="00A33BD4" w:rsidRPr="00A33BD4" w:rsidRDefault="00A33BD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48625F" w14:textId="0C559325" w:rsidR="00972B9C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9C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– DA PENALIDADE PROCESSUAL</w:t>
      </w:r>
    </w:p>
    <w:p w14:paraId="40BAA4ED" w14:textId="77777777" w:rsidR="001A7907" w:rsidRPr="00A33BD4" w:rsidRDefault="001A7907" w:rsidP="001A790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contrariamente ao argumentado pela parte embargada, o manejo do recurso em questão não ocorreu em excesso ao legítimo exercício das garantias processuais à ampla defesa e ao contraditório.</w:t>
      </w:r>
    </w:p>
    <w:p w14:paraId="5355EDBD" w14:textId="3F886033" w:rsidR="001A7907" w:rsidRPr="00A33BD4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 xml:space="preserve">Para caracterização </w:t>
      </w:r>
      <w:r w:rsidR="009C15FA" w:rsidRPr="00A33BD4">
        <w:rPr>
          <w:rFonts w:ascii="Times New Roman" w:hAnsi="Times New Roman" w:cs="Times New Roman"/>
          <w:iCs/>
          <w:sz w:val="24"/>
          <w:szCs w:val="24"/>
        </w:rPr>
        <w:t>da manifesta protelação, categoria instituída no art</w:t>
      </w:r>
      <w:r w:rsidR="00801173" w:rsidRPr="00A33BD4">
        <w:rPr>
          <w:rFonts w:ascii="Times New Roman" w:hAnsi="Times New Roman" w:cs="Times New Roman"/>
          <w:iCs/>
          <w:sz w:val="24"/>
          <w:szCs w:val="24"/>
        </w:rPr>
        <w:t>igo</w:t>
      </w:r>
      <w:r w:rsidR="009C15FA" w:rsidRPr="00A33BD4">
        <w:rPr>
          <w:rFonts w:ascii="Times New Roman" w:hAnsi="Times New Roman" w:cs="Times New Roman"/>
          <w:iCs/>
          <w:sz w:val="24"/>
          <w:szCs w:val="24"/>
        </w:rPr>
        <w:t xml:space="preserve"> 1.026, § 2.º, do Código de Processo Civil</w:t>
      </w:r>
      <w:r w:rsidRPr="00A33BD4">
        <w:rPr>
          <w:rFonts w:ascii="Times New Roman" w:hAnsi="Times New Roman" w:cs="Times New Roman"/>
          <w:iCs/>
          <w:sz w:val="24"/>
          <w:szCs w:val="24"/>
        </w:rPr>
        <w:t xml:space="preserve">, exige-se conduta dolosa da parte em </w:t>
      </w:r>
      <w:r w:rsidR="009C15FA" w:rsidRPr="00A33BD4">
        <w:rPr>
          <w:rFonts w:ascii="Times New Roman" w:hAnsi="Times New Roman" w:cs="Times New Roman"/>
          <w:iCs/>
          <w:sz w:val="24"/>
          <w:szCs w:val="24"/>
        </w:rPr>
        <w:t>procrastinar injustificadamente o procedimento.</w:t>
      </w:r>
    </w:p>
    <w:p w14:paraId="228E5D1B" w14:textId="549901E6" w:rsidR="001A7907" w:rsidRPr="00A33BD4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O exercício de legítimo direito à ampla defesa e ao contraditório, constitucionalmente previstos, não se subsome ao preceito primário da norma proibitiva.</w:t>
      </w:r>
    </w:p>
    <w:p w14:paraId="4A96886F" w14:textId="77777777" w:rsidR="001A7907" w:rsidRPr="00A33BD4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0BFCE9F0" w14:textId="77777777" w:rsidR="001A7907" w:rsidRPr="00A33BD4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0A746FA" w14:textId="77777777" w:rsidR="001A7907" w:rsidRPr="00A33BD4" w:rsidRDefault="001A7907" w:rsidP="001A7907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A33BD4">
        <w:rPr>
          <w:rFonts w:ascii="Times New Roman" w:hAnsi="Times New Roman" w:cs="Times New Roman"/>
          <w:iCs/>
          <w:sz w:val="20"/>
          <w:szCs w:val="24"/>
        </w:rPr>
        <w:t xml:space="preserve">CIVIL E PROCESSO CIVIL. AÇÃO DECLARATÓRIA DE INEXISTÊNCIA DE RELAÇÃO JURÍDICA E NULIDADE DE TÍTULOS DE CRÉDITO C/C COMPENSAÇÃO POR DANOS MORAIS. NEGATIVA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</w:t>
      </w:r>
      <w:proofErr w:type="spellStart"/>
      <w:r w:rsidRPr="00A33BD4">
        <w:rPr>
          <w:rFonts w:ascii="Times New Roman" w:hAnsi="Times New Roman" w:cs="Times New Roman"/>
          <w:iCs/>
          <w:sz w:val="20"/>
          <w:szCs w:val="24"/>
        </w:rPr>
        <w:t>LV</w:t>
      </w:r>
      <w:proofErr w:type="spellEnd"/>
      <w:r w:rsidRPr="00A33BD4">
        <w:rPr>
          <w:rFonts w:ascii="Times New Roman" w:hAnsi="Times New Roman" w:cs="Times New Roman"/>
          <w:iCs/>
          <w:sz w:val="20"/>
          <w:szCs w:val="24"/>
        </w:rPr>
        <w:t>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(STJ. Terceira Turma. Relatora: Ministra Nancy Andrighi. REsp n. 1.423.942/SP. Data de julgamento: 26-09-2017. Data de publicação: 29-09-2017).</w:t>
      </w:r>
    </w:p>
    <w:p w14:paraId="2C5A8D6F" w14:textId="77777777" w:rsidR="001A7907" w:rsidRPr="00A33BD4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28F0A009" w14:textId="77777777" w:rsidR="001A7907" w:rsidRPr="00A33BD4" w:rsidRDefault="001A7907" w:rsidP="001A790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31E6DCB2" w14:textId="77777777" w:rsidR="00AC5279" w:rsidRPr="00A33BD4" w:rsidRDefault="00AC5279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8906A9" w14:textId="63E92E44" w:rsidR="00E71385" w:rsidRPr="00A33BD4" w:rsidRDefault="00972B9C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II.IV </w:t>
      </w:r>
      <w:r w:rsidR="00E71385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– DA CONCLUSÃO</w:t>
      </w:r>
    </w:p>
    <w:p w14:paraId="4BD15769" w14:textId="7D16AF01" w:rsidR="00E71385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0D5FE8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desprover</w:t>
      </w: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embargos</w:t>
      </w:r>
      <w:r w:rsidR="009C15FA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declaração</w:t>
      </w: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134511" w14:textId="77777777" w:rsidR="00E71385" w:rsidRPr="00A33BD4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15768E32" w14:textId="77777777" w:rsidR="003F76F3" w:rsidRPr="00A33BD4" w:rsidRDefault="003F76F3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6466FC0" w14:textId="59102F14" w:rsidR="003F76F3" w:rsidRPr="00A33BD4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A33BD4">
        <w:rPr>
          <w:rFonts w:ascii="Times New Roman" w:hAnsi="Times New Roman" w:cs="Times New Roman"/>
          <w:b/>
          <w:sz w:val="24"/>
          <w:szCs w:val="24"/>
        </w:rPr>
        <w:t>–</w:t>
      </w:r>
      <w:r w:rsidRPr="00A33BD4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F76F3" w:rsidRPr="00A3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0CBC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3A6D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5FE8"/>
    <w:rsid w:val="000D62A2"/>
    <w:rsid w:val="000E2F5C"/>
    <w:rsid w:val="000E3D0A"/>
    <w:rsid w:val="000E6E40"/>
    <w:rsid w:val="000F1C40"/>
    <w:rsid w:val="000F2C6A"/>
    <w:rsid w:val="00101E92"/>
    <w:rsid w:val="001023A4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A7907"/>
    <w:rsid w:val="001B55D7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084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149B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3F76F3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3657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52E1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D6755"/>
    <w:rsid w:val="006E0A2B"/>
    <w:rsid w:val="006E2A57"/>
    <w:rsid w:val="006F0765"/>
    <w:rsid w:val="006F2E12"/>
    <w:rsid w:val="006F506E"/>
    <w:rsid w:val="006F602A"/>
    <w:rsid w:val="007028A3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1173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72B9C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5FA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33BD4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C5279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242E8"/>
    <w:rsid w:val="00C306F2"/>
    <w:rsid w:val="00C311EE"/>
    <w:rsid w:val="00C31731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1889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02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2172"/>
    <w:rsid w:val="00ED366A"/>
    <w:rsid w:val="00ED3EC0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179EC"/>
    <w:rsid w:val="00F205BE"/>
    <w:rsid w:val="00F2142B"/>
    <w:rsid w:val="00F21F1A"/>
    <w:rsid w:val="00F231A4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9C15F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9C15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C15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15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15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15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20F6A2-FC08-435A-B0BA-8FC09B468E97}"/>
</file>

<file path=customXml/itemProps3.xml><?xml version="1.0" encoding="utf-8"?>
<ds:datastoreItem xmlns:ds="http://schemas.openxmlformats.org/officeDocument/2006/customXml" ds:itemID="{E0DD79FD-940A-4F6A-85B4-76D941F0F001}"/>
</file>

<file path=customXml/itemProps4.xml><?xml version="1.0" encoding="utf-8"?>
<ds:datastoreItem xmlns:ds="http://schemas.openxmlformats.org/officeDocument/2006/customXml" ds:itemID="{27FDD2B0-3D9B-4FBA-BE84-DF860A7F2F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29</cp:revision>
  <cp:lastPrinted>2023-02-01T16:46:00Z</cp:lastPrinted>
  <dcterms:created xsi:type="dcterms:W3CDTF">2023-06-15T19:39:00Z</dcterms:created>
  <dcterms:modified xsi:type="dcterms:W3CDTF">2025-03-13T19:06:00Z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287000</vt:r8>
  </property>
</Properties>
</file>