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302AA" w14:textId="645EE120" w:rsidR="004F6FC5" w:rsidRDefault="00073A6D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F6FC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PROCESSUAL CIVIL. EMBARGOS DE DECLARAÇÃO.</w:t>
      </w:r>
      <w:r w:rsidR="004F6FC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RECURSO DE APELAÇÃO. REVISIONAL ALIENAÇÃO FIDUCIÁRIA.</w:t>
      </w:r>
      <w:r w:rsidR="00EE04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OMISSÃO.</w:t>
      </w:r>
    </w:p>
    <w:p w14:paraId="52C9D9D7" w14:textId="77777777" w:rsidR="000E6E40" w:rsidRPr="004F6FC5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F6FC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4E0502D3" w14:textId="385E35B5" w:rsidR="00EE04EC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EE04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Embargos de declaração </w:t>
      </w:r>
      <w:r w:rsidR="008205C3" w:rsidRPr="00EE04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interpostos</w:t>
      </w:r>
      <w:r w:rsidR="00073A6D" w:rsidRPr="00EE04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contra acórdão que </w:t>
      </w:r>
      <w:r w:rsidR="00EE04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deu parcial provimento </w:t>
      </w:r>
      <w:proofErr w:type="spellStart"/>
      <w:r w:rsidR="00EE04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</w:t>
      </w:r>
      <w:proofErr w:type="spellEnd"/>
      <w:r w:rsidR="00EE04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recurso de apelação, para declarar abusiva a contratação de seguro prestamista adjeto de financiamento de veículo.</w:t>
      </w:r>
    </w:p>
    <w:p w14:paraId="17482947" w14:textId="4B15D15B" w:rsidR="000E6E40" w:rsidRPr="004F6FC5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F6FC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</w:t>
      </w:r>
      <w:r w:rsidR="001A7907" w:rsidRPr="004F6FC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ÕES </w:t>
      </w:r>
      <w:r w:rsidRPr="004F6FC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 DISCUSSÃO</w:t>
      </w:r>
    </w:p>
    <w:p w14:paraId="1ACCE4A6" w14:textId="1E02E3C5" w:rsidR="00EE04EC" w:rsidRDefault="00073A6D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EE04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II.I. </w:t>
      </w:r>
      <w:r w:rsidR="00EE04EC" w:rsidRPr="00EE04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Omissões decorrentes de </w:t>
      </w:r>
      <w:r w:rsidR="00EE04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ausência de análise sobre elemento de prova sugestivo da contratação autônoma do seguro prestamista, termo inicial e parâmetros da correção monetária e juros de mora.</w:t>
      </w:r>
    </w:p>
    <w:p w14:paraId="2AD2FE52" w14:textId="0C96DAB5" w:rsidR="00EE04EC" w:rsidRPr="00EE04EC" w:rsidRDefault="00EE04EC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II.II. Modificação da base de cálculo dos honorários advocatícios de sucumbência.</w:t>
      </w:r>
    </w:p>
    <w:p w14:paraId="12850568" w14:textId="77777777" w:rsidR="000E6E40" w:rsidRPr="004F6FC5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F6FC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2531FB2A" w14:textId="57BB03A7" w:rsidR="000E6E40" w:rsidRPr="004F6FC5" w:rsidRDefault="00073A6D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4F6FC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III.I</w:t>
      </w:r>
      <w:proofErr w:type="spellEnd"/>
      <w:r w:rsidRPr="004F6FC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. </w:t>
      </w:r>
      <w:r w:rsidR="000E6E40" w:rsidRPr="004F6FC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Os embargos de declaração </w:t>
      </w:r>
      <w:r w:rsidR="009C15FA" w:rsidRPr="004F6FC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prestam-se a</w:t>
      </w:r>
      <w:r w:rsidR="000E6E40" w:rsidRPr="004F6FC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esclarecer obscuridade, eliminar contradição, suprir omissão ou corrigir erro material, sendo defesa sua utilização como sucedâneo recursal para manifestação de mero inconformismo.</w:t>
      </w:r>
    </w:p>
    <w:p w14:paraId="518E3603" w14:textId="3778B933" w:rsidR="00912F13" w:rsidRDefault="00912F13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III.II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. A ausência de pronunciamento específico sobre </w:t>
      </w:r>
      <w:r w:rsidR="004F6FC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condições jurídicas necessárias para a efetivação da condenação configura omissão, sanável pela via dos embargos.</w:t>
      </w:r>
    </w:p>
    <w:p w14:paraId="097D2F16" w14:textId="69F75BEB" w:rsidR="000E6E40" w:rsidRPr="00912F13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12F1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228414A5" w14:textId="39D6368C" w:rsidR="000E6E40" w:rsidRPr="00912F13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12F1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Recurso conhecido e </w:t>
      </w:r>
      <w:r w:rsidR="00912F13" w:rsidRPr="00912F1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parcialmente provido</w:t>
      </w:r>
      <w:r w:rsidRPr="00912F1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4018B384" w14:textId="77777777" w:rsidR="000E6E40" w:rsidRPr="00DB7DBE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B7DB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2D457791" w14:textId="5DFD4A77" w:rsidR="001A7907" w:rsidRDefault="001A7907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B7DB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V.I. </w:t>
      </w:r>
      <w:r w:rsidR="000E6E40" w:rsidRPr="00DB7DB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Jurisprudência:</w:t>
      </w:r>
    </w:p>
    <w:p w14:paraId="015CE2FC" w14:textId="03731E90" w:rsidR="00146D03" w:rsidRPr="00146D03" w:rsidRDefault="00146D03" w:rsidP="000E6E40">
      <w:p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6D03">
        <w:rPr>
          <w:rFonts w:ascii="Times New Roman" w:hAnsi="Times New Roman" w:cs="Times New Roman"/>
          <w:b/>
          <w:bCs/>
          <w:sz w:val="24"/>
          <w:szCs w:val="24"/>
        </w:rPr>
        <w:t xml:space="preserve">STJ. 1ª Seção. Relator: Ministro Mauro Campbell Marques. EDcl. no AgRg. nos </w:t>
      </w:r>
      <w:proofErr w:type="spellStart"/>
      <w:r w:rsidRPr="00146D03">
        <w:rPr>
          <w:rFonts w:ascii="Times New Roman" w:hAnsi="Times New Roman" w:cs="Times New Roman"/>
          <w:b/>
          <w:bCs/>
          <w:sz w:val="24"/>
          <w:szCs w:val="24"/>
        </w:rPr>
        <w:t>EAREsp</w:t>
      </w:r>
      <w:proofErr w:type="spellEnd"/>
      <w:r w:rsidRPr="00146D03">
        <w:rPr>
          <w:rFonts w:ascii="Times New Roman" w:hAnsi="Times New Roman" w:cs="Times New Roman"/>
          <w:b/>
          <w:bCs/>
          <w:sz w:val="24"/>
          <w:szCs w:val="24"/>
        </w:rPr>
        <w:t>. n. 620.940/RS. Data de Julgamento: 14-09-2016. Data de Publicação: 21-09-2016;</w:t>
      </w:r>
    </w:p>
    <w:p w14:paraId="18977DBB" w14:textId="72682E89" w:rsidR="00146D03" w:rsidRPr="00146D03" w:rsidRDefault="00146D03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r w:rsidRPr="00146D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TJPR</w:t>
      </w:r>
      <w:proofErr w:type="spellEnd"/>
      <w:r w:rsidRPr="00146D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. 19ª Câmara Cível. Relator: Desembargador Domingos José </w:t>
      </w:r>
      <w:proofErr w:type="spellStart"/>
      <w:r w:rsidRPr="00146D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Perfetto</w:t>
      </w:r>
      <w:proofErr w:type="spellEnd"/>
      <w:r w:rsidRPr="00146D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 Agravo de instrumento. 0079369- 24.2016.8.16.0014. Londrina. Data de julgamento: 23-09-2019;</w:t>
      </w:r>
    </w:p>
    <w:p w14:paraId="572EA069" w14:textId="7DE4C561" w:rsidR="00146D03" w:rsidRPr="00146D03" w:rsidRDefault="00146D03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r w:rsidRPr="00146D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TJPR</w:t>
      </w:r>
      <w:proofErr w:type="spellEnd"/>
      <w:r w:rsidRPr="00146D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. 19ª Câmara Cível. Relator: Desembargador Domingos José </w:t>
      </w:r>
      <w:proofErr w:type="spellStart"/>
      <w:r w:rsidRPr="00146D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Perfetto</w:t>
      </w:r>
      <w:proofErr w:type="spellEnd"/>
      <w:r w:rsidRPr="00146D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 Agravo de instrumento. 0013164-37.2021.8.16.0014. Londrina. Data de julgamento: 09-09-2024;</w:t>
      </w:r>
    </w:p>
    <w:p w14:paraId="6DA69D14" w14:textId="2DF79CC1" w:rsidR="00DB7DBE" w:rsidRPr="00146D03" w:rsidRDefault="00DB7DBE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46D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Súmula 43 do STJ.</w:t>
      </w:r>
    </w:p>
    <w:p w14:paraId="5FFB9405" w14:textId="4C751293" w:rsidR="001A7907" w:rsidRDefault="001A7907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DB7DB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V.II</w:t>
      </w:r>
      <w:proofErr w:type="spellEnd"/>
      <w:r w:rsidRPr="00DB7DB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. </w:t>
      </w:r>
      <w:r w:rsidR="000E6E40" w:rsidRPr="00DB7DB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Legislação:</w:t>
      </w:r>
    </w:p>
    <w:p w14:paraId="64ADE413" w14:textId="27EA0DB6" w:rsidR="00912F13" w:rsidRDefault="00912F13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Código Civil: art. 368; art. 369; art. 389; art. 405; art. 406.</w:t>
      </w:r>
    </w:p>
    <w:p w14:paraId="0BE565D1" w14:textId="08C6C552" w:rsidR="00912F13" w:rsidRDefault="00912F13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Código de Processo Civil: art. 240; art. 1.013; art. 1.022.</w:t>
      </w:r>
    </w:p>
    <w:p w14:paraId="4A3735F9" w14:textId="406E4891" w:rsidR="00912F13" w:rsidRDefault="00912F13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Lei n. 14.905 de 2024: art. 5º, II.</w:t>
      </w:r>
    </w:p>
    <w:p w14:paraId="2DA1BDBD" w14:textId="245D78B7" w:rsidR="00912F13" w:rsidRPr="00DB7DBE" w:rsidRDefault="00912F13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Decreto n. 1.544 </w:t>
      </w:r>
      <w:r w:rsidR="00446D4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 1995.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6C0EC32E" w14:textId="2D3D62CA" w:rsidR="008454E7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-se de embargos de declaração </w:t>
      </w:r>
      <w:r w:rsidR="00F179E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interpostos</w:t>
      </w:r>
      <w:r w:rsidR="0053657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por </w:t>
      </w:r>
      <w:r w:rsidR="008454E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Banco Votorantim S. A. em face de </w:t>
      </w:r>
      <w:proofErr w:type="spellStart"/>
      <w:r w:rsidR="008454E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Johnatas</w:t>
      </w:r>
      <w:proofErr w:type="spellEnd"/>
      <w:r w:rsidR="008454E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Rodrigues de Melo, tendo como objeto</w:t>
      </w:r>
      <w:r w:rsidR="00077E8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o venerando</w:t>
      </w:r>
      <w:r w:rsidR="008454E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acórdão proferido em recurso de apelação cível pela colenda 19ª Câmara Cível do Tribunal de Justiça do Estado do Paraná (evento 20.1 – </w:t>
      </w:r>
      <w:proofErr w:type="spellStart"/>
      <w:r w:rsidR="008454E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Ap</w:t>
      </w:r>
      <w:proofErr w:type="spellEnd"/>
      <w:r w:rsidR="008454E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).</w:t>
      </w:r>
    </w:p>
    <w:p w14:paraId="0543C938" w14:textId="4CDC2B5B" w:rsidR="008454E7" w:rsidRDefault="00F12CBD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Sustenta a parte embargante o acometimento do julgamento por omissão decorrente de ausência de análise sobre: a) prova indicativa da existência de instrumento contatual autônomo do seguro prestamista; b) definição do termo inicial da correção monetária e juros moratórios; c) pedido de compensação dos valores a serem restituídos; d) a impossibilidade de uso do valor da causa como base de cálculo dos honorários de sucumbência (evento 1.1).</w:t>
      </w:r>
    </w:p>
    <w:p w14:paraId="2C3BC937" w14:textId="5F56BED4" w:rsidR="008454E7" w:rsidRDefault="00F12CBD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Nas contrarrazões, o embargado aduziu inexistirem vícios a serem colmatados (evento 11.1).</w:t>
      </w:r>
    </w:p>
    <w:p w14:paraId="4FEDC7FD" w14:textId="7B349B6E" w:rsidR="003F76F3" w:rsidRPr="003F76F3" w:rsidRDefault="00F179EC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22426A3C" w14:textId="0645D382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Satisfeitos os pressupostos de admissibilidade recursal, conhecem-se dos embargos de declaração </w:t>
      </w:r>
      <w:r w:rsidR="00F179EC">
        <w:rPr>
          <w:rFonts w:ascii="Times New Roman" w:eastAsia="Times New Roman" w:hAnsi="Times New Roman" w:cs="Times New Roman"/>
          <w:sz w:val="24"/>
          <w:szCs w:val="24"/>
          <w:lang w:eastAsia="pt-BR"/>
        </w:rPr>
        <w:t>interpostos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8F242B5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E6DCB2" w14:textId="109D9D37" w:rsidR="00AC5279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</w:t>
      </w:r>
      <w:r w:rsidR="00F179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– </w:t>
      </w:r>
      <w:r w:rsidR="005B2225">
        <w:rPr>
          <w:rFonts w:ascii="Times New Roman" w:eastAsia="Times New Roman" w:hAnsi="Times New Roman" w:cs="Times New Roman"/>
          <w:sz w:val="24"/>
          <w:szCs w:val="24"/>
          <w:lang w:eastAsia="pt-BR"/>
        </w:rPr>
        <w:t>DO SEGURO PRESTAMISTA</w:t>
      </w:r>
    </w:p>
    <w:p w14:paraId="756C1B14" w14:textId="1A9365E4" w:rsidR="00F12CBD" w:rsidRDefault="00F12CBD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Cinge-se a controvérsia recursal à alegação de omissão decorrente de ausência de pronunciamento de prova influente para o deslinde da causa.</w:t>
      </w:r>
    </w:p>
    <w:p w14:paraId="7C2D402F" w14:textId="28BCCAE3" w:rsidR="00F12CBD" w:rsidRDefault="005B2225" w:rsidP="005B222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acórdão impugnado deu parcial provimento ao recurso de apelação do embargado, por considerar não comprovada a existência de instrumento contratual do seguro prestamista e, consequentemente, considerar abusiva a contratação adjeta ao contrato de financiamento de veículo.</w:t>
      </w:r>
    </w:p>
    <w:p w14:paraId="36E40B85" w14:textId="7167F2B9" w:rsidR="008231BB" w:rsidRDefault="008A04FA" w:rsidP="008231BB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Entretanto, </w:t>
      </w:r>
      <w:r w:rsidR="008231BB">
        <w:rPr>
          <w:rFonts w:ascii="Times New Roman" w:eastAsia="Times New Roman" w:hAnsi="Times New Roman" w:cs="Times New Roman"/>
          <w:sz w:val="24"/>
          <w:szCs w:val="24"/>
          <w:lang w:eastAsia="pt-BR"/>
        </w:rPr>
        <w:t>a pretensão declaratória constitui evidente inconformismo com a solução jurídica adotada, hipótese incompatível com o perfil normativo do art</w:t>
      </w:r>
      <w:r w:rsidR="00857E3C">
        <w:rPr>
          <w:rFonts w:ascii="Times New Roman" w:eastAsia="Times New Roman" w:hAnsi="Times New Roman" w:cs="Times New Roman"/>
          <w:sz w:val="24"/>
          <w:szCs w:val="24"/>
          <w:lang w:eastAsia="pt-BR"/>
        </w:rPr>
        <w:t>igo</w:t>
      </w:r>
      <w:r w:rsidR="008231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1.022 do Código de Processo Civil.</w:t>
      </w:r>
    </w:p>
    <w:p w14:paraId="25793FA0" w14:textId="77777777" w:rsidR="008A04FA" w:rsidRDefault="008231BB" w:rsidP="008A04FA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1A47E2C8" w14:textId="77777777" w:rsidR="008A04FA" w:rsidRDefault="008A04FA" w:rsidP="008A04FA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0"/>
        </w:rPr>
      </w:pPr>
    </w:p>
    <w:p w14:paraId="503D6853" w14:textId="449B70EC" w:rsidR="008A04FA" w:rsidRDefault="008231BB" w:rsidP="00857E3C">
      <w:pPr>
        <w:spacing w:before="240" w:after="240" w:line="360" w:lineRule="auto"/>
        <w:ind w:left="226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</w:t>
      </w:r>
      <w:proofErr w:type="spellStart"/>
      <w:r w:rsidRPr="005E3E78">
        <w:rPr>
          <w:rFonts w:ascii="Times New Roman" w:hAnsi="Times New Roman" w:cs="Times New Roman"/>
          <w:sz w:val="20"/>
        </w:rPr>
        <w:t>EAREsp</w:t>
      </w:r>
      <w:proofErr w:type="spellEnd"/>
      <w:r w:rsidRPr="005E3E78">
        <w:rPr>
          <w:rFonts w:ascii="Times New Roman" w:hAnsi="Times New Roman" w:cs="Times New Roman"/>
          <w:sz w:val="20"/>
        </w:rPr>
        <w:t>. n. 620.940/RS</w:t>
      </w:r>
      <w:r>
        <w:rPr>
          <w:rFonts w:ascii="Times New Roman" w:hAnsi="Times New Roman" w:cs="Times New Roman"/>
          <w:sz w:val="20"/>
        </w:rPr>
        <w:t>. Data de Julgamento: 14-09-2016. Data de Publicação: 21-09-2016).</w:t>
      </w:r>
    </w:p>
    <w:p w14:paraId="24B8121C" w14:textId="77777777" w:rsidR="008A04FA" w:rsidRDefault="008A04FA" w:rsidP="008A04FA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A0A563" w14:textId="057DC871" w:rsidR="008231BB" w:rsidRDefault="00857E3C" w:rsidP="008A04FA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 presente caso, o documento apresentado denota que houve uma única assinatura eletrônica para os instrumentos contratuais do financiamento e dos seguros (evento 17.3 – autos de origem).</w:t>
      </w:r>
    </w:p>
    <w:p w14:paraId="59F56CDB" w14:textId="16689B37" w:rsidR="00857E3C" w:rsidRDefault="00857E3C" w:rsidP="008A04FA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unidade dos documentos, submetidos a um único procedimento da validação digital, não permite inferência sobre a anuência específica do consumidor para a contratação do seguro prestamista.</w:t>
      </w:r>
    </w:p>
    <w:p w14:paraId="07975D15" w14:textId="52677B3D" w:rsidR="00857E3C" w:rsidRDefault="00857E3C" w:rsidP="008A04FA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Resulta, pois, configura a venda casada.</w:t>
      </w:r>
    </w:p>
    <w:p w14:paraId="6D23DBA1" w14:textId="573796F1" w:rsidR="008231BB" w:rsidRDefault="008231BB" w:rsidP="008231BB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Ausente, pois, propósito de colmatação do julgado, e sendo evidente a pretensão de rediscussão da matéria, não se cogita</w:t>
      </w:r>
      <w:r w:rsidR="00857E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acolhimento da pretensão recursal.</w:t>
      </w:r>
    </w:p>
    <w:p w14:paraId="06255DD5" w14:textId="77777777" w:rsidR="008231BB" w:rsidRDefault="008231B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67F8BC" w14:textId="74FE85F9" w:rsidR="001C524F" w:rsidRDefault="00972B9C" w:rsidP="001C524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</w:t>
      </w:r>
      <w:r w:rsidR="00F12CBD">
        <w:rPr>
          <w:rFonts w:ascii="Times New Roman" w:eastAsia="Times New Roman" w:hAnsi="Times New Roman" w:cs="Times New Roman"/>
          <w:sz w:val="24"/>
          <w:szCs w:val="24"/>
          <w:lang w:eastAsia="pt-BR"/>
        </w:rPr>
        <w:t>II</w:t>
      </w:r>
      <w:proofErr w:type="spellEnd"/>
      <w:r w:rsidR="008231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</w:t>
      </w:r>
      <w:r w:rsidR="001C524F">
        <w:rPr>
          <w:rFonts w:ascii="Times New Roman" w:eastAsia="Times New Roman" w:hAnsi="Times New Roman" w:cs="Times New Roman"/>
          <w:sz w:val="24"/>
          <w:szCs w:val="24"/>
          <w:lang w:eastAsia="pt-BR"/>
        </w:rPr>
        <w:t>DOS JUROS E DA CORREÇÃO</w:t>
      </w:r>
    </w:p>
    <w:p w14:paraId="093BBDA4" w14:textId="573E9549" w:rsidR="00AD21EA" w:rsidRDefault="00AD21EA" w:rsidP="001C524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Quanto à definição do termo inicial dos juros e da correção, houve, de fato, omissão no julgado.</w:t>
      </w:r>
    </w:p>
    <w:p w14:paraId="5663C7EB" w14:textId="16B00E1C" w:rsidR="00AD21EA" w:rsidRDefault="00AD21EA" w:rsidP="001C524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Passa-se, pois, à correspondente colmatação.</w:t>
      </w:r>
    </w:p>
    <w:p w14:paraId="31ECC2A2" w14:textId="249DE98E" w:rsidR="00990B5A" w:rsidRPr="00990B5A" w:rsidRDefault="00990B5A" w:rsidP="00990B5A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atual legislação em vigor determina o</w:t>
      </w:r>
      <w:r w:rsidRPr="00990B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cálculo da correção monetária pela Selic (CC, art. 389, parágrafo único) e, dos juros, pela Selic com dedução do IPCA (CC, art. 406). </w:t>
      </w:r>
    </w:p>
    <w:p w14:paraId="2C0DAFB1" w14:textId="62F3899B" w:rsidR="00990B5A" w:rsidRDefault="00990B5A" w:rsidP="00990B5A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0B5A">
        <w:rPr>
          <w:rFonts w:ascii="Times New Roman" w:eastAsia="Times New Roman" w:hAnsi="Times New Roman" w:cs="Times New Roman"/>
          <w:sz w:val="24"/>
          <w:szCs w:val="24"/>
          <w:lang w:eastAsia="pt-BR"/>
        </w:rPr>
        <w:t>Tais alterações foram inseridas no ordenamento jurídico pela Lei nº 14.905, de 2024.</w:t>
      </w:r>
    </w:p>
    <w:p w14:paraId="1747495D" w14:textId="4BF16646" w:rsidR="001C524F" w:rsidRPr="001C524F" w:rsidRDefault="00990B5A" w:rsidP="001C524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</w:t>
      </w:r>
      <w:r w:rsidR="001C524F" w:rsidRPr="001C52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expressa previsão do artigo 5º, inciso II, da Lei nº 14.905, de 2024, os consectários da mora devem ser calculados sob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tais</w:t>
      </w:r>
      <w:r w:rsidR="001C524F" w:rsidRPr="001C52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parâmetros somente 60 (sessenta) dias após a data de publicação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="00FF4163">
        <w:rPr>
          <w:rFonts w:ascii="Times New Roman" w:eastAsia="Times New Roman" w:hAnsi="Times New Roman" w:cs="Times New Roman"/>
          <w:sz w:val="24"/>
          <w:szCs w:val="24"/>
          <w:lang w:eastAsia="pt-BR"/>
        </w:rPr>
        <w:t>este</w:t>
      </w:r>
      <w:r w:rsidR="001C524F" w:rsidRPr="001C52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novo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imperativo legal.</w:t>
      </w:r>
    </w:p>
    <w:p w14:paraId="24D62A49" w14:textId="32BFB5D1" w:rsidR="001C524F" w:rsidRPr="001C524F" w:rsidRDefault="001C524F" w:rsidP="00990B5A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52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período anterior, </w:t>
      </w:r>
      <w:r w:rsidR="00990B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juros da mora </w:t>
      </w:r>
      <w:r w:rsidR="00FF41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quantificam-se à </w:t>
      </w:r>
      <w:r w:rsidR="00990B5A">
        <w:rPr>
          <w:rFonts w:ascii="Times New Roman" w:eastAsia="Times New Roman" w:hAnsi="Times New Roman" w:cs="Times New Roman"/>
          <w:sz w:val="24"/>
          <w:szCs w:val="24"/>
          <w:lang w:eastAsia="pt-BR"/>
        </w:rPr>
        <w:t>razão de 1% (um por cento) ao mês. A cor</w:t>
      </w:r>
      <w:r w:rsidRPr="001C524F">
        <w:rPr>
          <w:rFonts w:ascii="Times New Roman" w:eastAsia="Times New Roman" w:hAnsi="Times New Roman" w:cs="Times New Roman"/>
          <w:sz w:val="24"/>
          <w:szCs w:val="24"/>
          <w:lang w:eastAsia="pt-BR"/>
        </w:rPr>
        <w:t>reção</w:t>
      </w:r>
      <w:r w:rsidR="00990B5A">
        <w:rPr>
          <w:rFonts w:ascii="Times New Roman" w:eastAsia="Times New Roman" w:hAnsi="Times New Roman" w:cs="Times New Roman"/>
          <w:sz w:val="24"/>
          <w:szCs w:val="24"/>
          <w:lang w:eastAsia="pt-BR"/>
        </w:rPr>
        <w:t>, por sua vez, deve atender ao disposto n</w:t>
      </w:r>
      <w:r w:rsidRPr="001C52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Decreto nº. 1.544, de 30 de junho de 1995, </w:t>
      </w:r>
      <w:r w:rsidR="00990B5A">
        <w:rPr>
          <w:rFonts w:ascii="Times New Roman" w:eastAsia="Times New Roman" w:hAnsi="Times New Roman" w:cs="Times New Roman"/>
          <w:sz w:val="24"/>
          <w:szCs w:val="24"/>
          <w:lang w:eastAsia="pt-BR"/>
        </w:rPr>
        <w:t>com</w:t>
      </w:r>
      <w:r w:rsidRPr="001C52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uso da média aritmética entre o INPC e o IGP-DI</w:t>
      </w:r>
      <w:r w:rsidR="00990B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1C524F">
        <w:rPr>
          <w:rFonts w:ascii="Times New Roman" w:eastAsia="Times New Roman" w:hAnsi="Times New Roman" w:cs="Times New Roman"/>
          <w:sz w:val="24"/>
          <w:szCs w:val="24"/>
          <w:lang w:eastAsia="pt-BR"/>
        </w:rPr>
        <w:t>fórmula que melhor reflete a desvalorização da moeda e recompõe o poder aquisitivo.</w:t>
      </w:r>
    </w:p>
    <w:p w14:paraId="47210085" w14:textId="77777777" w:rsidR="001C524F" w:rsidRPr="001C524F" w:rsidRDefault="001C524F" w:rsidP="001C524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524F">
        <w:rPr>
          <w:rFonts w:ascii="Times New Roman" w:eastAsia="Times New Roman" w:hAnsi="Times New Roman" w:cs="Times New Roman"/>
          <w:sz w:val="24"/>
          <w:szCs w:val="24"/>
          <w:lang w:eastAsia="pt-BR"/>
        </w:rPr>
        <w:t>Neste sentido:</w:t>
      </w:r>
    </w:p>
    <w:p w14:paraId="581DCB87" w14:textId="77777777" w:rsidR="001C524F" w:rsidRPr="001C524F" w:rsidRDefault="001C524F" w:rsidP="001C524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15D263" w14:textId="77777777" w:rsidR="001C524F" w:rsidRDefault="001C524F" w:rsidP="00AD21EA">
      <w:pPr>
        <w:spacing w:after="240" w:line="360" w:lineRule="auto"/>
        <w:ind w:left="2268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D21EA">
        <w:rPr>
          <w:rFonts w:ascii="Times New Roman" w:eastAsia="Times New Roman" w:hAnsi="Times New Roman" w:cs="Times New Roman"/>
          <w:sz w:val="20"/>
          <w:szCs w:val="20"/>
          <w:lang w:eastAsia="pt-BR"/>
        </w:rPr>
        <w:t>APELAÇÕES CÍVEIS – AÇÃO INDENIZATÓRIA POR DANOS MORAIS E MATERIAIS – VÍCIOS CONSTRUTIVOS – PRAZO PRESCRICIONAL DE (05) CINCO ANOS PREVISTO NO CDC – PRETENSÃO NÃO PRESCRITA – DANOS MATERIAIS DEVIDAMENTE COMPROVADOS NO LAUDO PERICIAL – DANO MORAL CONFIGURADO – PREJUÍZO QUE ULTRAPASSOU O MERO DISSABOR DO COTIDIANO – QUANTUM MANTIDO – ÍNDICE BDI UTILIZADO PARA A ELABORAÇÃO DO CÁLCULO DO DANO MATERIAL – MANUTENÇÃO – CUSTOS INDIRETOS DA OBRA QUE DEVEM SER CONSIDERADOS – CORREÇÃO MONETÁRIA – MATÉRIA DE ORDEM PÚBLICA – ALTERAÇÃO, DE OFÍCIO, DO ÍNDICE – MÉDIA INPC /IGP-DI – MAJORAÇÃO DOS HONORÁRIOS ADVOCATÍCIOS. RECURSO 01 DESPROVIDO. RECURSO 02 PARCIALMENTE PROVIDO (</w:t>
      </w:r>
      <w:proofErr w:type="spellStart"/>
      <w:r w:rsidRPr="00AD21EA">
        <w:rPr>
          <w:rFonts w:ascii="Times New Roman" w:eastAsia="Times New Roman" w:hAnsi="Times New Roman" w:cs="Times New Roman"/>
          <w:sz w:val="20"/>
          <w:szCs w:val="20"/>
          <w:lang w:eastAsia="pt-BR"/>
        </w:rPr>
        <w:t>TJPR</w:t>
      </w:r>
      <w:proofErr w:type="spellEnd"/>
      <w:r w:rsidRPr="00AD21E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19ª Câmara Cível. Relator: Desembargador Domingos José </w:t>
      </w:r>
      <w:proofErr w:type="spellStart"/>
      <w:r w:rsidRPr="00AD21EA">
        <w:rPr>
          <w:rFonts w:ascii="Times New Roman" w:eastAsia="Times New Roman" w:hAnsi="Times New Roman" w:cs="Times New Roman"/>
          <w:sz w:val="20"/>
          <w:szCs w:val="20"/>
          <w:lang w:eastAsia="pt-BR"/>
        </w:rPr>
        <w:t>Perfetto</w:t>
      </w:r>
      <w:proofErr w:type="spellEnd"/>
      <w:r w:rsidRPr="00AD21EA">
        <w:rPr>
          <w:rFonts w:ascii="Times New Roman" w:eastAsia="Times New Roman" w:hAnsi="Times New Roman" w:cs="Times New Roman"/>
          <w:sz w:val="20"/>
          <w:szCs w:val="20"/>
          <w:lang w:eastAsia="pt-BR"/>
        </w:rPr>
        <w:t>. Agravo de instrumento. 0079369- 24.2016.8.16.0014. Londrina. Data de julgamento: 23-09-2019).</w:t>
      </w:r>
    </w:p>
    <w:p w14:paraId="61E4F2A4" w14:textId="77777777" w:rsidR="00AD21EA" w:rsidRPr="00AD21EA" w:rsidRDefault="00AD21EA" w:rsidP="00AD21EA">
      <w:pPr>
        <w:spacing w:after="24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0234D95D" w14:textId="77777777" w:rsidR="001C524F" w:rsidRPr="00AD21EA" w:rsidRDefault="001C524F" w:rsidP="00AD21EA">
      <w:pPr>
        <w:spacing w:after="240" w:line="360" w:lineRule="auto"/>
        <w:ind w:left="2268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D21EA">
        <w:rPr>
          <w:rFonts w:ascii="Times New Roman" w:eastAsia="Times New Roman" w:hAnsi="Times New Roman" w:cs="Times New Roman"/>
          <w:sz w:val="20"/>
          <w:szCs w:val="20"/>
          <w:lang w:eastAsia="pt-BR"/>
        </w:rPr>
        <w:t>APELAÇÃO CÍVEL – AÇÃO DE REPARAÇÃO DE DANOS MATERIAIS E MORAIS – VÍCIOS CONSTRUTIVOS – LAUDO PERICIAL QUE ATESTA DE FORMA CLARA A EXISTÊNCIA DE DEFEITOS DE CONSTRUÇÃO NO IMÓVEL – VÍCIOS DECORRENTES DE FALTA DE MANUTENÇÃO NÃO CONTABILIZADOS PARA EFEITOS DA REPARAÇÃO PATRIMONIAL – DANOS MATERIAIS DEVIDOS – DANOS MORAIS PRESENTES – IMÓVEL QUE APRESENTOU DEFEITOS COM APENAS UM ANO DE USO – ANGÚSTIA, FRUSTRAÇÃO E SENTIMENTO DE IMPOTÊNCIA DO ADQUIRENTE FRENTE AOS VÍCIOS DE CONSTRUÇÃO VERIFICADOS – ABALO PSÍQUICO QUE EXTRAPOLOU O LIAME DO MERO DISSABOR – CONDENAÇÃO MANTIDA – QUANTUM INDENIZATÓRIO – PARTICULARIDADES DO CASO CONCRETO – MANUTENÇÃO – CONSECTÁRIOS LEGAIS – ADEQUAÇÃO DE OFÍCIO – ÍNDICE A SER OBSERVADO –MÉDIA ENTRE O INPC E O IGP-DI – JUROS DE MORA CONTADOS DA CITAÇÃO – MATÉRIAS DE ORDEM PÚBLICA – RECURSO NÃO PROVIDO, COM A ADEQUAÇÃO, DE OFÍCIO, DA CORREÇÃO MONETÁRIA E DOS JUROS DE MORA. (</w:t>
      </w:r>
      <w:proofErr w:type="spellStart"/>
      <w:r w:rsidRPr="00AD21EA">
        <w:rPr>
          <w:rFonts w:ascii="Times New Roman" w:eastAsia="Times New Roman" w:hAnsi="Times New Roman" w:cs="Times New Roman"/>
          <w:sz w:val="20"/>
          <w:szCs w:val="20"/>
          <w:lang w:eastAsia="pt-BR"/>
        </w:rPr>
        <w:t>TJPR</w:t>
      </w:r>
      <w:proofErr w:type="spellEnd"/>
      <w:r w:rsidRPr="00AD21E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19ª Câmara Cível. Relator: Desembargador Domingos José </w:t>
      </w:r>
      <w:proofErr w:type="spellStart"/>
      <w:r w:rsidRPr="00AD21EA">
        <w:rPr>
          <w:rFonts w:ascii="Times New Roman" w:eastAsia="Times New Roman" w:hAnsi="Times New Roman" w:cs="Times New Roman"/>
          <w:sz w:val="20"/>
          <w:szCs w:val="20"/>
          <w:lang w:eastAsia="pt-BR"/>
        </w:rPr>
        <w:t>Perfetto</w:t>
      </w:r>
      <w:proofErr w:type="spellEnd"/>
      <w:r w:rsidRPr="00AD21EA">
        <w:rPr>
          <w:rFonts w:ascii="Times New Roman" w:eastAsia="Times New Roman" w:hAnsi="Times New Roman" w:cs="Times New Roman"/>
          <w:sz w:val="20"/>
          <w:szCs w:val="20"/>
          <w:lang w:eastAsia="pt-BR"/>
        </w:rPr>
        <w:t>. Agravo de instrumento. 0013164-37.2021.8.16.0014. Londrina. Data de julgamento: 09-09-2024).</w:t>
      </w:r>
    </w:p>
    <w:p w14:paraId="6A36A84D" w14:textId="77777777" w:rsidR="00990B5A" w:rsidRDefault="00990B5A" w:rsidP="001C524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21BBC8" w14:textId="6E6C0384" w:rsidR="008231BB" w:rsidRDefault="001C524F" w:rsidP="001C524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41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Portanto, </w:t>
      </w:r>
      <w:r w:rsidR="00990B5A" w:rsidRPr="00FF41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neste ponto, </w:t>
      </w:r>
      <w:r w:rsidR="00FF4163" w:rsidRPr="00FF4163">
        <w:rPr>
          <w:rFonts w:ascii="Times New Roman" w:eastAsia="Times New Roman" w:hAnsi="Times New Roman" w:cs="Times New Roman"/>
          <w:sz w:val="24"/>
          <w:szCs w:val="24"/>
          <w:lang w:eastAsia="pt-BR"/>
        </w:rPr>
        <w:t>estabelece-se a</w:t>
      </w:r>
      <w:r w:rsidRPr="00FF41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correção pela média </w:t>
      </w:r>
      <w:proofErr w:type="spellStart"/>
      <w:r w:rsidRPr="00FF4163">
        <w:rPr>
          <w:rFonts w:ascii="Times New Roman" w:eastAsia="Times New Roman" w:hAnsi="Times New Roman" w:cs="Times New Roman"/>
          <w:sz w:val="24"/>
          <w:szCs w:val="24"/>
          <w:lang w:eastAsia="pt-BR"/>
        </w:rPr>
        <w:t>INCP</w:t>
      </w:r>
      <w:proofErr w:type="spellEnd"/>
      <w:r w:rsidRPr="00FF4163">
        <w:rPr>
          <w:rFonts w:ascii="Times New Roman" w:eastAsia="Times New Roman" w:hAnsi="Times New Roman" w:cs="Times New Roman"/>
          <w:sz w:val="24"/>
          <w:szCs w:val="24"/>
          <w:lang w:eastAsia="pt-BR"/>
        </w:rPr>
        <w:t>/IGP-DI e juros de 1% (um por cento) ao mês, durante o período de indefinição legal, e aplicando-se o disposto nos artigos 389 e 406 do Código Civil, a partir de 60 (sessenta) dias da publicação da Lei nº 14.905, de 2024.</w:t>
      </w:r>
    </w:p>
    <w:p w14:paraId="39203D13" w14:textId="4BA12B7D" w:rsidR="00FF4163" w:rsidRDefault="00FF4163" w:rsidP="001C524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Quanto ao termo inicial</w:t>
      </w:r>
      <w:r w:rsidR="00DB7DBE">
        <w:rPr>
          <w:rFonts w:ascii="Times New Roman" w:eastAsia="Times New Roman" w:hAnsi="Times New Roman" w:cs="Times New Roman"/>
          <w:sz w:val="24"/>
          <w:szCs w:val="24"/>
          <w:lang w:eastAsia="pt-BR"/>
        </w:rPr>
        <w:t>, a correção monetária deve ser computada desde cada desembolso, consoante enunciado da súmula 43 do Superior Tribunal de Justiça. Os juros de mora, por sua vez, contam-se desde a citação, nos termos do artigo 405 do Código Civil e do artigo 240 do Código de Processo Civil.</w:t>
      </w:r>
    </w:p>
    <w:p w14:paraId="1778FE20" w14:textId="77777777" w:rsidR="00DB7DBE" w:rsidRDefault="00DB7DBE" w:rsidP="001C524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B59EB3" w14:textId="4152CCF4" w:rsidR="008231BB" w:rsidRDefault="008231B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II.IV – DA COMPENSAÇÃO</w:t>
      </w:r>
    </w:p>
    <w:p w14:paraId="4E60A162" w14:textId="2B9A0C6D" w:rsidR="00DB7DBE" w:rsidRDefault="00DB7DBE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julgado passou ao largo do pedido de compensação, expressamente deduzido nas contrarrazões ao recurso de apelação.</w:t>
      </w:r>
    </w:p>
    <w:p w14:paraId="30370AC3" w14:textId="117CB6F8" w:rsidR="00DB7DBE" w:rsidRDefault="00DB7DBE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Reputa-se necessária a declaração de tal omissão.</w:t>
      </w:r>
    </w:p>
    <w:p w14:paraId="7C0EADEC" w14:textId="1FF99B1D" w:rsidR="00DB7DBE" w:rsidRDefault="00DB7DBE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compensação constitui meio de extinção de obrigação, consistente no abatimento de dívidas recíprocas, observados os requisitos do artigo 368 e 369 do Código Civil.</w:t>
      </w:r>
    </w:p>
    <w:p w14:paraId="0BB236FC" w14:textId="356536AC" w:rsidR="00DB7DBE" w:rsidRDefault="00DB7DBE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 caso concreto, a parte embargante afirma a existência de saldo devedor em seu favor, decorrente do contrato de financiamento impugnado.</w:t>
      </w:r>
    </w:p>
    <w:p w14:paraId="21371ED9" w14:textId="70E0BC85" w:rsidR="00DB7DBE" w:rsidRDefault="00DB7DBE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Havendo, pois, equivalência subjetiva entre os obrigados, de dívidas líquidas, vencidas e em moeda corrente, defere-se à parte ora recorrente a compensação pretendida.</w:t>
      </w:r>
    </w:p>
    <w:p w14:paraId="026C009D" w14:textId="77777777" w:rsidR="008231BB" w:rsidRDefault="008231B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0B1EB40" w14:textId="77B8E31E" w:rsidR="008231BB" w:rsidRDefault="008231B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II.V – DA BASE DE CÁLCULO DOS HONORÁRIOS</w:t>
      </w:r>
    </w:p>
    <w:p w14:paraId="237755CD" w14:textId="439E90FB" w:rsidR="00A5141A" w:rsidRDefault="00A5141A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Quanto a base de cálculo dos honorários, ao contrário do argumentado pela parte, não há omissão a ser sanada.</w:t>
      </w:r>
    </w:p>
    <w:p w14:paraId="5BEDE441" w14:textId="46E02228" w:rsidR="00A5141A" w:rsidRDefault="00A5141A" w:rsidP="00146D0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matéria não foi objeto do recurso de apelação interposto e, por</w:t>
      </w:r>
      <w:r w:rsidR="00146D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tanto, não </w:t>
      </w:r>
      <w:r w:rsidR="001D6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foi submetida ao efeito devolutivo do recurso de apelação </w:t>
      </w:r>
      <w:r w:rsidR="00146D03">
        <w:rPr>
          <w:rFonts w:ascii="Times New Roman" w:eastAsia="Times New Roman" w:hAnsi="Times New Roman" w:cs="Times New Roman"/>
          <w:sz w:val="24"/>
          <w:szCs w:val="24"/>
          <w:lang w:eastAsia="pt-BR"/>
        </w:rPr>
        <w:t>(CPC, art. 1.013).</w:t>
      </w:r>
    </w:p>
    <w:p w14:paraId="7616C408" w14:textId="202E0FCD" w:rsidR="00146D03" w:rsidRDefault="00146D03" w:rsidP="00146D0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Não há, portanto, omissão a ser declarada neste ponto.</w:t>
      </w:r>
    </w:p>
    <w:p w14:paraId="74963A86" w14:textId="77777777" w:rsidR="00146D03" w:rsidRDefault="00146D03" w:rsidP="00146D0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3343B9" w14:textId="42B9FFC7" w:rsidR="00146D03" w:rsidRDefault="008231BB" w:rsidP="00146D0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II.VI – 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>DA CONCLUSÃO</w:t>
      </w:r>
    </w:p>
    <w:p w14:paraId="25CD0DDB" w14:textId="4C2BF3C2" w:rsidR="00FF4163" w:rsidRDefault="00E71385" w:rsidP="00146D0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Pela conjugação das premissas alinhavadas, a conclusão a ser adotada consiste em conhecer e </w:t>
      </w:r>
      <w:r w:rsidR="00F12C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prover </w:t>
      </w:r>
      <w:r w:rsidR="008231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parcialmente </w:t>
      </w:r>
      <w:r w:rsidR="00F12C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</w:t>
      </w:r>
      <w:r w:rsidR="00FF41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embargos de declaração, sanando-se as omissões constatadas para: a) estabelecer a incidência de juros de 1% (um por cento ao mês) e </w:t>
      </w:r>
      <w:r w:rsidR="00FF4163" w:rsidRPr="00FF41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correção pela média </w:t>
      </w:r>
      <w:proofErr w:type="spellStart"/>
      <w:r w:rsidR="00FF4163" w:rsidRPr="00FF4163">
        <w:rPr>
          <w:rFonts w:ascii="Times New Roman" w:eastAsia="Times New Roman" w:hAnsi="Times New Roman" w:cs="Times New Roman"/>
          <w:sz w:val="24"/>
          <w:szCs w:val="24"/>
          <w:lang w:eastAsia="pt-BR"/>
        </w:rPr>
        <w:t>INCP</w:t>
      </w:r>
      <w:proofErr w:type="spellEnd"/>
      <w:r w:rsidR="00FF4163" w:rsidRPr="00FF41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/IGP-DI e juros de 1% (um por cento) </w:t>
      </w:r>
      <w:r w:rsidR="00FF41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mês e que, a </w:t>
      </w:r>
      <w:r w:rsidR="00FF4163" w:rsidRPr="00FF4163">
        <w:rPr>
          <w:rFonts w:ascii="Times New Roman" w:eastAsia="Times New Roman" w:hAnsi="Times New Roman" w:cs="Times New Roman"/>
          <w:sz w:val="24"/>
          <w:szCs w:val="24"/>
          <w:lang w:eastAsia="pt-BR"/>
        </w:rPr>
        <w:t>partir de 60 (sessenta) dias da publicação da Lei nº 14.905, de 2024</w:t>
      </w:r>
      <w:r w:rsidR="00FF41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tais consectários sejam calculados com base nos artigos </w:t>
      </w:r>
      <w:r w:rsidR="00FF4163" w:rsidRPr="00FF4163">
        <w:rPr>
          <w:rFonts w:ascii="Times New Roman" w:eastAsia="Times New Roman" w:hAnsi="Times New Roman" w:cs="Times New Roman"/>
          <w:sz w:val="24"/>
          <w:szCs w:val="24"/>
          <w:lang w:eastAsia="pt-BR"/>
        </w:rPr>
        <w:t>389 e 406 do Código Civil</w:t>
      </w:r>
      <w:r w:rsidR="00FF4163">
        <w:rPr>
          <w:rFonts w:ascii="Times New Roman" w:eastAsia="Times New Roman" w:hAnsi="Times New Roman" w:cs="Times New Roman"/>
          <w:sz w:val="24"/>
          <w:szCs w:val="24"/>
          <w:lang w:eastAsia="pt-BR"/>
        </w:rPr>
        <w:t>; b) definir como termo inicial para a correção monetária a data de cada desembolso e, dos juros, a da citação; c) deferir a compensação dos valores a serem restituídos com eventual saldo devedor</w:t>
      </w:r>
      <w:r w:rsidR="00146D0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9B603EC" w14:textId="0DB7AD82" w:rsidR="00FE6877" w:rsidRDefault="00FE6877" w:rsidP="00FF416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15768E32" w14:textId="77777777" w:rsidR="003F76F3" w:rsidRDefault="003F76F3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76466FC0" w14:textId="59102F14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>
        <w:rPr>
          <w:rFonts w:ascii="Times New Roman" w:hAnsi="Times New Roman" w:cs="Times New Roman"/>
          <w:b/>
          <w:sz w:val="24"/>
          <w:szCs w:val="24"/>
        </w:rPr>
        <w:t>–</w:t>
      </w:r>
      <w:r w:rsidRPr="00260160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3F7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0D758B" w14:textId="77777777" w:rsidR="006B640D" w:rsidRDefault="006B640D" w:rsidP="00647C71">
      <w:pPr>
        <w:spacing w:after="0" w:line="240" w:lineRule="auto"/>
      </w:pPr>
      <w:r>
        <w:separator/>
      </w:r>
    </w:p>
  </w:endnote>
  <w:endnote w:type="continuationSeparator" w:id="0">
    <w:p w14:paraId="5752BC7A" w14:textId="77777777" w:rsidR="006B640D" w:rsidRDefault="006B640D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FF278" w14:textId="77777777" w:rsidR="006B640D" w:rsidRDefault="006B640D" w:rsidP="00647C71">
      <w:pPr>
        <w:spacing w:after="0" w:line="240" w:lineRule="auto"/>
      </w:pPr>
      <w:r>
        <w:separator/>
      </w:r>
    </w:p>
  </w:footnote>
  <w:footnote w:type="continuationSeparator" w:id="0">
    <w:p w14:paraId="563366FA" w14:textId="77777777" w:rsidR="006B640D" w:rsidRDefault="006B640D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60BD"/>
    <w:rsid w:val="000167D1"/>
    <w:rsid w:val="00020043"/>
    <w:rsid w:val="00022B72"/>
    <w:rsid w:val="00026881"/>
    <w:rsid w:val="000306E0"/>
    <w:rsid w:val="00030CBC"/>
    <w:rsid w:val="00032A45"/>
    <w:rsid w:val="000374DD"/>
    <w:rsid w:val="0004000E"/>
    <w:rsid w:val="00046137"/>
    <w:rsid w:val="00051782"/>
    <w:rsid w:val="000536CB"/>
    <w:rsid w:val="000574CD"/>
    <w:rsid w:val="000578C0"/>
    <w:rsid w:val="0006301E"/>
    <w:rsid w:val="0006738E"/>
    <w:rsid w:val="00070921"/>
    <w:rsid w:val="00073A6D"/>
    <w:rsid w:val="00074A6B"/>
    <w:rsid w:val="000753E6"/>
    <w:rsid w:val="00075CD3"/>
    <w:rsid w:val="000771EB"/>
    <w:rsid w:val="00077E81"/>
    <w:rsid w:val="00082633"/>
    <w:rsid w:val="000A1580"/>
    <w:rsid w:val="000A1845"/>
    <w:rsid w:val="000A2939"/>
    <w:rsid w:val="000A50E5"/>
    <w:rsid w:val="000B0707"/>
    <w:rsid w:val="000B081D"/>
    <w:rsid w:val="000B0F0C"/>
    <w:rsid w:val="000B1A3F"/>
    <w:rsid w:val="000B5F0E"/>
    <w:rsid w:val="000C15F3"/>
    <w:rsid w:val="000C6FB3"/>
    <w:rsid w:val="000D324F"/>
    <w:rsid w:val="000D49BF"/>
    <w:rsid w:val="000D5CD1"/>
    <w:rsid w:val="000D5FE8"/>
    <w:rsid w:val="000D62A2"/>
    <w:rsid w:val="000E2F5C"/>
    <w:rsid w:val="000E3D0A"/>
    <w:rsid w:val="000E6E40"/>
    <w:rsid w:val="000F1C40"/>
    <w:rsid w:val="000F2C6A"/>
    <w:rsid w:val="00101E92"/>
    <w:rsid w:val="001023A4"/>
    <w:rsid w:val="0012195B"/>
    <w:rsid w:val="0012372F"/>
    <w:rsid w:val="00126C21"/>
    <w:rsid w:val="001302DC"/>
    <w:rsid w:val="001441FD"/>
    <w:rsid w:val="00144B56"/>
    <w:rsid w:val="00146D03"/>
    <w:rsid w:val="001505AA"/>
    <w:rsid w:val="00151BE6"/>
    <w:rsid w:val="001539AF"/>
    <w:rsid w:val="00153CFF"/>
    <w:rsid w:val="00156C0C"/>
    <w:rsid w:val="00160FA5"/>
    <w:rsid w:val="00166E6B"/>
    <w:rsid w:val="0018045A"/>
    <w:rsid w:val="00185B6E"/>
    <w:rsid w:val="00190005"/>
    <w:rsid w:val="001911F4"/>
    <w:rsid w:val="00191D4B"/>
    <w:rsid w:val="001920B4"/>
    <w:rsid w:val="001A011D"/>
    <w:rsid w:val="001A632C"/>
    <w:rsid w:val="001A7907"/>
    <w:rsid w:val="001B3591"/>
    <w:rsid w:val="001B55D7"/>
    <w:rsid w:val="001C39D3"/>
    <w:rsid w:val="001C524F"/>
    <w:rsid w:val="001D13E2"/>
    <w:rsid w:val="001D5521"/>
    <w:rsid w:val="001D6208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201354"/>
    <w:rsid w:val="0021113B"/>
    <w:rsid w:val="0021140D"/>
    <w:rsid w:val="00211FD6"/>
    <w:rsid w:val="0021477B"/>
    <w:rsid w:val="00214D4B"/>
    <w:rsid w:val="00215E32"/>
    <w:rsid w:val="00222CD8"/>
    <w:rsid w:val="0022498C"/>
    <w:rsid w:val="00226084"/>
    <w:rsid w:val="00226F44"/>
    <w:rsid w:val="002275AF"/>
    <w:rsid w:val="0023019E"/>
    <w:rsid w:val="002372A2"/>
    <w:rsid w:val="002438A8"/>
    <w:rsid w:val="00250B16"/>
    <w:rsid w:val="00250CAB"/>
    <w:rsid w:val="00251BE7"/>
    <w:rsid w:val="00260675"/>
    <w:rsid w:val="002665C0"/>
    <w:rsid w:val="002703E3"/>
    <w:rsid w:val="0027299B"/>
    <w:rsid w:val="00293E14"/>
    <w:rsid w:val="00294EBC"/>
    <w:rsid w:val="002A270B"/>
    <w:rsid w:val="002A4117"/>
    <w:rsid w:val="002A7461"/>
    <w:rsid w:val="002A798A"/>
    <w:rsid w:val="002B370A"/>
    <w:rsid w:val="002B48B3"/>
    <w:rsid w:val="002C0F37"/>
    <w:rsid w:val="002C62E9"/>
    <w:rsid w:val="002D03B9"/>
    <w:rsid w:val="002D2306"/>
    <w:rsid w:val="002D2AC8"/>
    <w:rsid w:val="002D4EB8"/>
    <w:rsid w:val="002D4FAD"/>
    <w:rsid w:val="002D651A"/>
    <w:rsid w:val="002E41AA"/>
    <w:rsid w:val="002E64B7"/>
    <w:rsid w:val="002E7B89"/>
    <w:rsid w:val="002F0485"/>
    <w:rsid w:val="002F35CF"/>
    <w:rsid w:val="002F37D9"/>
    <w:rsid w:val="002F78A8"/>
    <w:rsid w:val="00304E90"/>
    <w:rsid w:val="00305348"/>
    <w:rsid w:val="00305698"/>
    <w:rsid w:val="0032286D"/>
    <w:rsid w:val="00323689"/>
    <w:rsid w:val="00331431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6114E"/>
    <w:rsid w:val="00361C7B"/>
    <w:rsid w:val="00364B3D"/>
    <w:rsid w:val="00365AAA"/>
    <w:rsid w:val="0036786F"/>
    <w:rsid w:val="00375DC5"/>
    <w:rsid w:val="00376120"/>
    <w:rsid w:val="00377569"/>
    <w:rsid w:val="00380F70"/>
    <w:rsid w:val="00382463"/>
    <w:rsid w:val="003A43F7"/>
    <w:rsid w:val="003B44F2"/>
    <w:rsid w:val="003B513B"/>
    <w:rsid w:val="003C7E9F"/>
    <w:rsid w:val="003E0B11"/>
    <w:rsid w:val="003F517F"/>
    <w:rsid w:val="003F76F3"/>
    <w:rsid w:val="00406FD8"/>
    <w:rsid w:val="00412E7C"/>
    <w:rsid w:val="00415A21"/>
    <w:rsid w:val="004178DE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46D47"/>
    <w:rsid w:val="0046475D"/>
    <w:rsid w:val="0046793C"/>
    <w:rsid w:val="00471D31"/>
    <w:rsid w:val="00481F56"/>
    <w:rsid w:val="0048354C"/>
    <w:rsid w:val="00483D1A"/>
    <w:rsid w:val="00483F6A"/>
    <w:rsid w:val="004848C3"/>
    <w:rsid w:val="00493D6A"/>
    <w:rsid w:val="00497A76"/>
    <w:rsid w:val="004A155F"/>
    <w:rsid w:val="004A2186"/>
    <w:rsid w:val="004A7651"/>
    <w:rsid w:val="004B3805"/>
    <w:rsid w:val="004C0C0E"/>
    <w:rsid w:val="004C3883"/>
    <w:rsid w:val="004C5BD8"/>
    <w:rsid w:val="004C6221"/>
    <w:rsid w:val="004C6EFE"/>
    <w:rsid w:val="004D3620"/>
    <w:rsid w:val="004D7A88"/>
    <w:rsid w:val="004E1BC4"/>
    <w:rsid w:val="004E388C"/>
    <w:rsid w:val="004F0B40"/>
    <w:rsid w:val="004F1087"/>
    <w:rsid w:val="004F3F82"/>
    <w:rsid w:val="004F6FC5"/>
    <w:rsid w:val="00502B69"/>
    <w:rsid w:val="005071BC"/>
    <w:rsid w:val="00515AF4"/>
    <w:rsid w:val="005215A8"/>
    <w:rsid w:val="00527F2B"/>
    <w:rsid w:val="00531EC3"/>
    <w:rsid w:val="0053637D"/>
    <w:rsid w:val="00536572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A2E06"/>
    <w:rsid w:val="005B2225"/>
    <w:rsid w:val="005C4F6A"/>
    <w:rsid w:val="005D1A25"/>
    <w:rsid w:val="005D255C"/>
    <w:rsid w:val="005D3C95"/>
    <w:rsid w:val="005D4C96"/>
    <w:rsid w:val="005D737F"/>
    <w:rsid w:val="005E0749"/>
    <w:rsid w:val="005E2A5E"/>
    <w:rsid w:val="005E3E78"/>
    <w:rsid w:val="005F0055"/>
    <w:rsid w:val="005F52E1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31AEE"/>
    <w:rsid w:val="00635393"/>
    <w:rsid w:val="0063576D"/>
    <w:rsid w:val="0063620D"/>
    <w:rsid w:val="00642926"/>
    <w:rsid w:val="006430E0"/>
    <w:rsid w:val="00644AD4"/>
    <w:rsid w:val="00645955"/>
    <w:rsid w:val="00647C71"/>
    <w:rsid w:val="00650B35"/>
    <w:rsid w:val="00651518"/>
    <w:rsid w:val="0066719E"/>
    <w:rsid w:val="00667279"/>
    <w:rsid w:val="006675EA"/>
    <w:rsid w:val="006744B1"/>
    <w:rsid w:val="00680312"/>
    <w:rsid w:val="00684A0B"/>
    <w:rsid w:val="00684EE9"/>
    <w:rsid w:val="00687C34"/>
    <w:rsid w:val="00695951"/>
    <w:rsid w:val="00697096"/>
    <w:rsid w:val="006976FF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6267"/>
    <w:rsid w:val="006D6755"/>
    <w:rsid w:val="006E0A2B"/>
    <w:rsid w:val="006E2A57"/>
    <w:rsid w:val="006F0765"/>
    <w:rsid w:val="006F2E12"/>
    <w:rsid w:val="006F506E"/>
    <w:rsid w:val="006F602A"/>
    <w:rsid w:val="007028A3"/>
    <w:rsid w:val="0071296A"/>
    <w:rsid w:val="00714712"/>
    <w:rsid w:val="00716788"/>
    <w:rsid w:val="007167E9"/>
    <w:rsid w:val="00731D9C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839E4"/>
    <w:rsid w:val="007857DD"/>
    <w:rsid w:val="00786FD9"/>
    <w:rsid w:val="007901E9"/>
    <w:rsid w:val="00790531"/>
    <w:rsid w:val="00794062"/>
    <w:rsid w:val="00794F4C"/>
    <w:rsid w:val="007958D6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17FF"/>
    <w:rsid w:val="007D3FED"/>
    <w:rsid w:val="007D59A6"/>
    <w:rsid w:val="007D713E"/>
    <w:rsid w:val="007E00E5"/>
    <w:rsid w:val="007E3761"/>
    <w:rsid w:val="007E4AEF"/>
    <w:rsid w:val="007F310A"/>
    <w:rsid w:val="007F6C8D"/>
    <w:rsid w:val="008008BD"/>
    <w:rsid w:val="00803B89"/>
    <w:rsid w:val="0082036F"/>
    <w:rsid w:val="008205C3"/>
    <w:rsid w:val="00821DB8"/>
    <w:rsid w:val="008231BB"/>
    <w:rsid w:val="0082604B"/>
    <w:rsid w:val="0083227E"/>
    <w:rsid w:val="0083446D"/>
    <w:rsid w:val="00843609"/>
    <w:rsid w:val="008454E7"/>
    <w:rsid w:val="00846227"/>
    <w:rsid w:val="0085367E"/>
    <w:rsid w:val="00854F1E"/>
    <w:rsid w:val="00855843"/>
    <w:rsid w:val="00857E3C"/>
    <w:rsid w:val="00862931"/>
    <w:rsid w:val="00862ADB"/>
    <w:rsid w:val="00873D50"/>
    <w:rsid w:val="00875D56"/>
    <w:rsid w:val="00877694"/>
    <w:rsid w:val="00882E77"/>
    <w:rsid w:val="00883026"/>
    <w:rsid w:val="008857A8"/>
    <w:rsid w:val="00885AA7"/>
    <w:rsid w:val="008910E1"/>
    <w:rsid w:val="00892408"/>
    <w:rsid w:val="0089321B"/>
    <w:rsid w:val="00894F5B"/>
    <w:rsid w:val="00895FF5"/>
    <w:rsid w:val="008A04FA"/>
    <w:rsid w:val="008A2F16"/>
    <w:rsid w:val="008A363C"/>
    <w:rsid w:val="008B57C8"/>
    <w:rsid w:val="008C2594"/>
    <w:rsid w:val="008D0E03"/>
    <w:rsid w:val="008D21E1"/>
    <w:rsid w:val="008E30EE"/>
    <w:rsid w:val="008E6ECB"/>
    <w:rsid w:val="008E7B18"/>
    <w:rsid w:val="008F791B"/>
    <w:rsid w:val="009015DC"/>
    <w:rsid w:val="009024D3"/>
    <w:rsid w:val="009115F7"/>
    <w:rsid w:val="00912F13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72B9C"/>
    <w:rsid w:val="009814B2"/>
    <w:rsid w:val="00987CDE"/>
    <w:rsid w:val="00990B5A"/>
    <w:rsid w:val="00993B58"/>
    <w:rsid w:val="00996120"/>
    <w:rsid w:val="009A14FE"/>
    <w:rsid w:val="009B0B3A"/>
    <w:rsid w:val="009B0C6D"/>
    <w:rsid w:val="009B216A"/>
    <w:rsid w:val="009B2960"/>
    <w:rsid w:val="009B297F"/>
    <w:rsid w:val="009B6D87"/>
    <w:rsid w:val="009C1118"/>
    <w:rsid w:val="009C15FA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12291"/>
    <w:rsid w:val="00A1339F"/>
    <w:rsid w:val="00A233AA"/>
    <w:rsid w:val="00A35175"/>
    <w:rsid w:val="00A5141A"/>
    <w:rsid w:val="00A559CE"/>
    <w:rsid w:val="00A6119C"/>
    <w:rsid w:val="00A61BEE"/>
    <w:rsid w:val="00A730B6"/>
    <w:rsid w:val="00A8064C"/>
    <w:rsid w:val="00A82B31"/>
    <w:rsid w:val="00A8725B"/>
    <w:rsid w:val="00A91602"/>
    <w:rsid w:val="00AA12F7"/>
    <w:rsid w:val="00AC5279"/>
    <w:rsid w:val="00AD21EA"/>
    <w:rsid w:val="00AE125F"/>
    <w:rsid w:val="00AE29C5"/>
    <w:rsid w:val="00AE36A9"/>
    <w:rsid w:val="00AE4473"/>
    <w:rsid w:val="00AE4AB6"/>
    <w:rsid w:val="00AF4457"/>
    <w:rsid w:val="00AF58A2"/>
    <w:rsid w:val="00AF5D83"/>
    <w:rsid w:val="00B0146A"/>
    <w:rsid w:val="00B02B99"/>
    <w:rsid w:val="00B04D8D"/>
    <w:rsid w:val="00B06674"/>
    <w:rsid w:val="00B074EB"/>
    <w:rsid w:val="00B11D12"/>
    <w:rsid w:val="00B15E2F"/>
    <w:rsid w:val="00B20524"/>
    <w:rsid w:val="00B22B59"/>
    <w:rsid w:val="00B22EF2"/>
    <w:rsid w:val="00B3324A"/>
    <w:rsid w:val="00B34A84"/>
    <w:rsid w:val="00B400E7"/>
    <w:rsid w:val="00B41453"/>
    <w:rsid w:val="00B46640"/>
    <w:rsid w:val="00B46AF3"/>
    <w:rsid w:val="00B4759A"/>
    <w:rsid w:val="00B54294"/>
    <w:rsid w:val="00B6675D"/>
    <w:rsid w:val="00B70EAC"/>
    <w:rsid w:val="00B7653B"/>
    <w:rsid w:val="00B83B63"/>
    <w:rsid w:val="00B90614"/>
    <w:rsid w:val="00B934AD"/>
    <w:rsid w:val="00B94191"/>
    <w:rsid w:val="00B9426A"/>
    <w:rsid w:val="00B94949"/>
    <w:rsid w:val="00BA3331"/>
    <w:rsid w:val="00BA48FA"/>
    <w:rsid w:val="00BA5626"/>
    <w:rsid w:val="00BA657A"/>
    <w:rsid w:val="00BA65BC"/>
    <w:rsid w:val="00BA7A8F"/>
    <w:rsid w:val="00BB3AB5"/>
    <w:rsid w:val="00BC04E6"/>
    <w:rsid w:val="00BC4ABE"/>
    <w:rsid w:val="00BC5C92"/>
    <w:rsid w:val="00BD302E"/>
    <w:rsid w:val="00BD684A"/>
    <w:rsid w:val="00BF033D"/>
    <w:rsid w:val="00C007C7"/>
    <w:rsid w:val="00C02481"/>
    <w:rsid w:val="00C029A5"/>
    <w:rsid w:val="00C04158"/>
    <w:rsid w:val="00C0763E"/>
    <w:rsid w:val="00C112E3"/>
    <w:rsid w:val="00C173E7"/>
    <w:rsid w:val="00C306F2"/>
    <w:rsid w:val="00C311EE"/>
    <w:rsid w:val="00C31731"/>
    <w:rsid w:val="00C31E33"/>
    <w:rsid w:val="00C3291B"/>
    <w:rsid w:val="00C3476D"/>
    <w:rsid w:val="00C41024"/>
    <w:rsid w:val="00C54FEF"/>
    <w:rsid w:val="00C625AB"/>
    <w:rsid w:val="00C64FA8"/>
    <w:rsid w:val="00C727D6"/>
    <w:rsid w:val="00C74795"/>
    <w:rsid w:val="00C758D5"/>
    <w:rsid w:val="00C764F8"/>
    <w:rsid w:val="00C7769A"/>
    <w:rsid w:val="00C85038"/>
    <w:rsid w:val="00C86FAB"/>
    <w:rsid w:val="00C8735C"/>
    <w:rsid w:val="00C8769D"/>
    <w:rsid w:val="00C92849"/>
    <w:rsid w:val="00C97D7A"/>
    <w:rsid w:val="00CA57DF"/>
    <w:rsid w:val="00CB0D85"/>
    <w:rsid w:val="00CB1889"/>
    <w:rsid w:val="00CB7067"/>
    <w:rsid w:val="00CC2F26"/>
    <w:rsid w:val="00CC7C6C"/>
    <w:rsid w:val="00CE0AD9"/>
    <w:rsid w:val="00CE54B2"/>
    <w:rsid w:val="00CF18A5"/>
    <w:rsid w:val="00D034E0"/>
    <w:rsid w:val="00D04FB0"/>
    <w:rsid w:val="00D15AC6"/>
    <w:rsid w:val="00D20BDA"/>
    <w:rsid w:val="00D24947"/>
    <w:rsid w:val="00D25D9A"/>
    <w:rsid w:val="00D25F6B"/>
    <w:rsid w:val="00D27A9A"/>
    <w:rsid w:val="00D317F9"/>
    <w:rsid w:val="00D3271F"/>
    <w:rsid w:val="00D40F96"/>
    <w:rsid w:val="00D41A1B"/>
    <w:rsid w:val="00D41A55"/>
    <w:rsid w:val="00D43025"/>
    <w:rsid w:val="00D43548"/>
    <w:rsid w:val="00D44EA3"/>
    <w:rsid w:val="00D47C54"/>
    <w:rsid w:val="00D51523"/>
    <w:rsid w:val="00D523B2"/>
    <w:rsid w:val="00D62B7D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FF8"/>
    <w:rsid w:val="00DB7DBE"/>
    <w:rsid w:val="00DC0E99"/>
    <w:rsid w:val="00DD43DD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109CB"/>
    <w:rsid w:val="00E13163"/>
    <w:rsid w:val="00E17110"/>
    <w:rsid w:val="00E32EC6"/>
    <w:rsid w:val="00E40C65"/>
    <w:rsid w:val="00E41DC6"/>
    <w:rsid w:val="00E46924"/>
    <w:rsid w:val="00E46F5F"/>
    <w:rsid w:val="00E544D7"/>
    <w:rsid w:val="00E61DDD"/>
    <w:rsid w:val="00E70EA8"/>
    <w:rsid w:val="00E71385"/>
    <w:rsid w:val="00E72A00"/>
    <w:rsid w:val="00E73437"/>
    <w:rsid w:val="00E74DCB"/>
    <w:rsid w:val="00E80104"/>
    <w:rsid w:val="00E80A67"/>
    <w:rsid w:val="00E8589C"/>
    <w:rsid w:val="00E86068"/>
    <w:rsid w:val="00E86E75"/>
    <w:rsid w:val="00EA2D26"/>
    <w:rsid w:val="00EA3061"/>
    <w:rsid w:val="00EA4F00"/>
    <w:rsid w:val="00EB4393"/>
    <w:rsid w:val="00EC08E0"/>
    <w:rsid w:val="00EC2C3C"/>
    <w:rsid w:val="00ED2172"/>
    <w:rsid w:val="00ED366A"/>
    <w:rsid w:val="00ED3EC0"/>
    <w:rsid w:val="00ED3ED7"/>
    <w:rsid w:val="00ED47AD"/>
    <w:rsid w:val="00ED65FE"/>
    <w:rsid w:val="00ED725B"/>
    <w:rsid w:val="00EE04EC"/>
    <w:rsid w:val="00F008F7"/>
    <w:rsid w:val="00F010CE"/>
    <w:rsid w:val="00F017B0"/>
    <w:rsid w:val="00F0477B"/>
    <w:rsid w:val="00F12CBD"/>
    <w:rsid w:val="00F1798B"/>
    <w:rsid w:val="00F179EC"/>
    <w:rsid w:val="00F205BE"/>
    <w:rsid w:val="00F2142B"/>
    <w:rsid w:val="00F21F1A"/>
    <w:rsid w:val="00F231A4"/>
    <w:rsid w:val="00F355C7"/>
    <w:rsid w:val="00F4269A"/>
    <w:rsid w:val="00F4476F"/>
    <w:rsid w:val="00F46D67"/>
    <w:rsid w:val="00F50730"/>
    <w:rsid w:val="00F5102A"/>
    <w:rsid w:val="00F56BB2"/>
    <w:rsid w:val="00F60064"/>
    <w:rsid w:val="00F60AB3"/>
    <w:rsid w:val="00F718E9"/>
    <w:rsid w:val="00F933D7"/>
    <w:rsid w:val="00F94657"/>
    <w:rsid w:val="00FA110F"/>
    <w:rsid w:val="00FB1209"/>
    <w:rsid w:val="00FB27C5"/>
    <w:rsid w:val="00FB3400"/>
    <w:rsid w:val="00FB4645"/>
    <w:rsid w:val="00FB646C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7BDF"/>
    <w:rsid w:val="00FE0FE8"/>
    <w:rsid w:val="00FE36A9"/>
    <w:rsid w:val="00FE5CF9"/>
    <w:rsid w:val="00FE5FF3"/>
    <w:rsid w:val="00FE6877"/>
    <w:rsid w:val="00FF1230"/>
    <w:rsid w:val="00FF4163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9C15FA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9C15F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9C15F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9C15F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C15F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C15F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6B16C7-F25C-4898-9C82-E7DD3B495ED6}"/>
</file>

<file path=customXml/itemProps3.xml><?xml version="1.0" encoding="utf-8"?>
<ds:datastoreItem xmlns:ds="http://schemas.openxmlformats.org/officeDocument/2006/customXml" ds:itemID="{61A1C8AF-F726-4FD9-8075-FE260A8E44AB}"/>
</file>

<file path=customXml/itemProps4.xml><?xml version="1.0" encoding="utf-8"?>
<ds:datastoreItem xmlns:ds="http://schemas.openxmlformats.org/officeDocument/2006/customXml" ds:itemID="{A8D33F71-7810-419B-A8A5-ABC03E8166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1</Pages>
  <Words>1596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33</cp:revision>
  <cp:lastPrinted>2023-02-01T16:46:00Z</cp:lastPrinted>
  <dcterms:created xsi:type="dcterms:W3CDTF">2023-06-15T19:39:00Z</dcterms:created>
  <dcterms:modified xsi:type="dcterms:W3CDTF">2025-03-12T17:42:00Z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288600</vt:r8>
  </property>
</Properties>
</file>