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5BB" w:rsidRDefault="00A4563A" w:rsidP="00A4563A">
      <w:pPr>
        <w:spacing w:before="240" w:after="240" w:line="360" w:lineRule="auto"/>
        <w:jc w:val="both"/>
        <w:rPr>
          <w:b/>
          <w:sz w:val="24"/>
          <w:szCs w:val="24"/>
          <w:lang w:eastAsia="pt-BR"/>
        </w:rPr>
      </w:pPr>
      <w:r>
        <w:rPr>
          <w:b/>
          <w:sz w:val="24"/>
          <w:szCs w:val="24"/>
          <w:lang w:eastAsia="pt-BR"/>
        </w:rPr>
        <w:t xml:space="preserve">DECISÃO MONOCRÁTICA. </w:t>
      </w:r>
      <w:r w:rsidRPr="00CD18F4">
        <w:rPr>
          <w:b/>
          <w:sz w:val="24"/>
          <w:szCs w:val="24"/>
          <w:lang w:eastAsia="pt-BR"/>
        </w:rPr>
        <w:t>PENAL</w:t>
      </w:r>
      <w:r w:rsidR="00745D3D">
        <w:rPr>
          <w:b/>
          <w:sz w:val="24"/>
          <w:szCs w:val="24"/>
          <w:lang w:eastAsia="pt-BR"/>
        </w:rPr>
        <w:t>. PROCESSUAL PENAL.</w:t>
      </w:r>
      <w:r w:rsidR="00CC75BB">
        <w:rPr>
          <w:b/>
          <w:sz w:val="24"/>
          <w:szCs w:val="24"/>
          <w:lang w:eastAsia="pt-BR"/>
        </w:rPr>
        <w:t xml:space="preserve"> CORREIÇÃO PARCIAL. INDEFERIMENTO DE PROCESSAMENTO DE ACORDO DE NÃO PERSECUÇÃO PENAL. INSURGÊNCIA DO MINISTÉRIO PÚBLICO. JUÍZO DE RETRATAÇÃO POSITIVO. PERDA SUPERVENIENTE DO OBJETO. EXTINÇÃO SEM RESOLUÇÃO DO MÉRITO.</w:t>
      </w:r>
    </w:p>
    <w:p w:rsidR="005405F5" w:rsidRDefault="00A4563A" w:rsidP="00A4563A">
      <w:pPr>
        <w:spacing w:before="240" w:after="240" w:line="360" w:lineRule="auto"/>
        <w:jc w:val="both"/>
        <w:rPr>
          <w:b/>
          <w:sz w:val="24"/>
          <w:szCs w:val="24"/>
          <w:lang w:eastAsia="pt-BR"/>
        </w:rPr>
      </w:pPr>
      <w:r>
        <w:rPr>
          <w:b/>
          <w:sz w:val="24"/>
          <w:szCs w:val="24"/>
          <w:lang w:eastAsia="pt-BR"/>
        </w:rPr>
        <w:t xml:space="preserve">1. </w:t>
      </w:r>
      <w:r w:rsidR="00CC75BB">
        <w:rPr>
          <w:b/>
          <w:sz w:val="24"/>
          <w:szCs w:val="24"/>
          <w:lang w:eastAsia="pt-BR"/>
        </w:rPr>
        <w:t>A retratação da decisão que ensejou pedido de correição parcial esvazia seu objeto e enseja extinção.</w:t>
      </w:r>
      <w:bookmarkStart w:id="0" w:name="_GoBack"/>
      <w:bookmarkEnd w:id="0"/>
    </w:p>
    <w:p w:rsidR="005405F5" w:rsidRDefault="005405F5" w:rsidP="00A4563A">
      <w:pPr>
        <w:spacing w:before="240" w:after="240" w:line="360" w:lineRule="auto"/>
        <w:jc w:val="both"/>
        <w:rPr>
          <w:b/>
          <w:sz w:val="24"/>
          <w:szCs w:val="24"/>
          <w:lang w:eastAsia="pt-BR"/>
        </w:rPr>
      </w:pPr>
      <w:r>
        <w:rPr>
          <w:b/>
          <w:sz w:val="24"/>
          <w:szCs w:val="24"/>
          <w:lang w:eastAsia="pt-BR"/>
        </w:rPr>
        <w:t xml:space="preserve">2. </w:t>
      </w:r>
      <w:r w:rsidR="00CC75BB">
        <w:rPr>
          <w:b/>
          <w:sz w:val="24"/>
          <w:szCs w:val="24"/>
          <w:lang w:eastAsia="pt-BR"/>
        </w:rPr>
        <w:t xml:space="preserve">Correição parcial extinta </w:t>
      </w:r>
      <w:r>
        <w:rPr>
          <w:b/>
          <w:sz w:val="24"/>
          <w:szCs w:val="24"/>
          <w:lang w:eastAsia="pt-BR"/>
        </w:rPr>
        <w:t>sem julgamento do mérito.</w:t>
      </w:r>
    </w:p>
    <w:p w:rsidR="00A4563A" w:rsidRDefault="00A4563A" w:rsidP="00A4563A">
      <w:pPr>
        <w:spacing w:before="240" w:after="240" w:line="360" w:lineRule="auto"/>
        <w:ind w:firstLine="709"/>
        <w:jc w:val="both"/>
        <w:rPr>
          <w:b/>
          <w:sz w:val="24"/>
          <w:szCs w:val="24"/>
          <w:lang w:eastAsia="pt-BR"/>
        </w:rPr>
      </w:pPr>
    </w:p>
    <w:p w:rsidR="00A4563A" w:rsidRPr="00816FAE" w:rsidRDefault="00A4563A" w:rsidP="00A4563A">
      <w:pPr>
        <w:spacing w:before="240" w:after="240" w:line="360" w:lineRule="auto"/>
        <w:ind w:firstLine="709"/>
        <w:jc w:val="both"/>
        <w:rPr>
          <w:b/>
          <w:sz w:val="24"/>
          <w:szCs w:val="24"/>
          <w:lang w:eastAsia="pt-BR"/>
        </w:rPr>
      </w:pPr>
      <w:r w:rsidRPr="00816FAE">
        <w:rPr>
          <w:b/>
          <w:sz w:val="24"/>
          <w:szCs w:val="24"/>
          <w:lang w:eastAsia="pt-BR"/>
        </w:rPr>
        <w:t>I – RELATÓRIO</w:t>
      </w:r>
    </w:p>
    <w:p w:rsidR="00293DDA" w:rsidRDefault="00A4563A" w:rsidP="00745D3D">
      <w:pPr>
        <w:spacing w:before="240" w:after="240" w:line="360" w:lineRule="auto"/>
        <w:ind w:firstLine="709"/>
        <w:jc w:val="both"/>
        <w:rPr>
          <w:sz w:val="24"/>
          <w:szCs w:val="24"/>
          <w:lang w:eastAsia="pt-BR"/>
        </w:rPr>
      </w:pPr>
      <w:r>
        <w:rPr>
          <w:sz w:val="24"/>
          <w:szCs w:val="24"/>
          <w:lang w:eastAsia="pt-BR"/>
        </w:rPr>
        <w:t xml:space="preserve">Cuida-se </w:t>
      </w:r>
      <w:r w:rsidR="00293DDA">
        <w:rPr>
          <w:sz w:val="24"/>
          <w:szCs w:val="24"/>
          <w:lang w:eastAsia="pt-BR"/>
        </w:rPr>
        <w:t xml:space="preserve">de correição parcial ajuizada pelo Ministério Público do Estado do Paraná, tendo como objeto decisão proferida pelo juízo da Vara de Execução Penal de Acordo de Não Persecução Penal de Ibaiti, que indeferiu processamento e execução de acordo realizado pelo Órgão Ministerial com o investigado Júlio Cesar Luiz, sob fundamento de caber ao </w:t>
      </w:r>
      <w:r w:rsidR="00293DDA">
        <w:rPr>
          <w:i/>
          <w:sz w:val="24"/>
          <w:szCs w:val="24"/>
          <w:lang w:eastAsia="pt-BR"/>
        </w:rPr>
        <w:t xml:space="preserve">Parquet </w:t>
      </w:r>
      <w:r w:rsidR="00293DDA">
        <w:rPr>
          <w:sz w:val="24"/>
          <w:szCs w:val="24"/>
          <w:lang w:eastAsia="pt-BR"/>
        </w:rPr>
        <w:t>a manutenção e o controle das obrigações pactuadas (evento 8.1 – autos de origem).</w:t>
      </w:r>
    </w:p>
    <w:p w:rsidR="00293DDA" w:rsidRDefault="00745D3D" w:rsidP="00745D3D">
      <w:pPr>
        <w:spacing w:before="240" w:after="240" w:line="360" w:lineRule="auto"/>
        <w:ind w:firstLine="709"/>
        <w:jc w:val="both"/>
        <w:rPr>
          <w:sz w:val="24"/>
          <w:szCs w:val="24"/>
          <w:lang w:eastAsia="pt-BR"/>
        </w:rPr>
      </w:pPr>
      <w:r>
        <w:rPr>
          <w:sz w:val="24"/>
          <w:szCs w:val="24"/>
          <w:lang w:eastAsia="pt-BR"/>
        </w:rPr>
        <w:t xml:space="preserve">Sobreveio decisão </w:t>
      </w:r>
      <w:r w:rsidR="00293DDA">
        <w:rPr>
          <w:sz w:val="24"/>
          <w:szCs w:val="24"/>
          <w:lang w:eastAsia="pt-BR"/>
        </w:rPr>
        <w:t>em que a autoridade corrigida se retratou do posicionamento anterior e deferiu o processamento da execução do acordo (evento 14.1 – autos de origem).</w:t>
      </w:r>
    </w:p>
    <w:p w:rsidR="00A4563A" w:rsidRDefault="00A4563A" w:rsidP="00A4563A">
      <w:pPr>
        <w:spacing w:before="240" w:after="240" w:line="360" w:lineRule="auto"/>
        <w:ind w:firstLine="709"/>
        <w:jc w:val="both"/>
        <w:rPr>
          <w:sz w:val="24"/>
          <w:szCs w:val="24"/>
          <w:lang w:eastAsia="pt-BR"/>
        </w:rPr>
      </w:pPr>
      <w:r>
        <w:rPr>
          <w:sz w:val="24"/>
          <w:szCs w:val="24"/>
          <w:lang w:eastAsia="pt-BR"/>
        </w:rPr>
        <w:t>É necessário relato.</w:t>
      </w:r>
    </w:p>
    <w:p w:rsidR="00A4563A" w:rsidRDefault="00A4563A" w:rsidP="00A4563A">
      <w:pPr>
        <w:spacing w:before="240" w:after="240" w:line="360" w:lineRule="auto"/>
        <w:ind w:firstLine="709"/>
        <w:jc w:val="both"/>
        <w:rPr>
          <w:sz w:val="24"/>
          <w:szCs w:val="24"/>
          <w:lang w:eastAsia="pt-BR"/>
        </w:rPr>
      </w:pPr>
    </w:p>
    <w:p w:rsidR="00A4563A" w:rsidRDefault="00A4563A" w:rsidP="00A4563A">
      <w:pPr>
        <w:spacing w:before="240" w:after="240" w:line="360" w:lineRule="auto"/>
        <w:ind w:firstLine="709"/>
        <w:jc w:val="both"/>
        <w:rPr>
          <w:sz w:val="24"/>
          <w:szCs w:val="24"/>
          <w:lang w:eastAsia="pt-BR"/>
        </w:rPr>
      </w:pPr>
      <w:r>
        <w:rPr>
          <w:sz w:val="24"/>
          <w:szCs w:val="24"/>
          <w:lang w:eastAsia="pt-BR"/>
        </w:rPr>
        <w:t>II – FUNDAMENTAÇÃO</w:t>
      </w:r>
    </w:p>
    <w:p w:rsidR="00293DDA" w:rsidRDefault="00293DDA" w:rsidP="00745D3D">
      <w:pPr>
        <w:spacing w:before="240" w:after="240" w:line="360" w:lineRule="auto"/>
        <w:ind w:firstLine="709"/>
        <w:jc w:val="both"/>
        <w:rPr>
          <w:sz w:val="24"/>
          <w:szCs w:val="24"/>
          <w:lang w:eastAsia="pt-BR"/>
        </w:rPr>
      </w:pPr>
      <w:r>
        <w:rPr>
          <w:sz w:val="24"/>
          <w:szCs w:val="24"/>
          <w:lang w:eastAsia="pt-BR"/>
        </w:rPr>
        <w:t xml:space="preserve">Considerando a retratação exercida pelo juízo </w:t>
      </w:r>
      <w:r>
        <w:rPr>
          <w:i/>
          <w:sz w:val="24"/>
          <w:szCs w:val="24"/>
          <w:lang w:eastAsia="pt-BR"/>
        </w:rPr>
        <w:t>a quo</w:t>
      </w:r>
      <w:r>
        <w:rPr>
          <w:sz w:val="24"/>
          <w:szCs w:val="24"/>
          <w:lang w:eastAsia="pt-BR"/>
        </w:rPr>
        <w:t xml:space="preserve"> em relação ao pronunciamento objetado na presente correição parcial, constata-se a perda superveniente de seu objeto (evento 14.1 – autos de origem).</w:t>
      </w:r>
    </w:p>
    <w:p w:rsidR="00293DDA" w:rsidRPr="00293DDA" w:rsidRDefault="00293DDA" w:rsidP="00293DDA">
      <w:pPr>
        <w:spacing w:before="240" w:after="240" w:line="360" w:lineRule="auto"/>
        <w:ind w:firstLine="709"/>
        <w:jc w:val="both"/>
        <w:rPr>
          <w:sz w:val="24"/>
          <w:szCs w:val="24"/>
          <w:lang w:eastAsia="pt-BR"/>
        </w:rPr>
      </w:pPr>
      <w:r>
        <w:rPr>
          <w:sz w:val="24"/>
          <w:szCs w:val="24"/>
          <w:lang w:eastAsia="pt-BR"/>
        </w:rPr>
        <w:t xml:space="preserve">Não subsiste, pois, a controvérsia sobre </w:t>
      </w:r>
      <w:r w:rsidRPr="00293DDA">
        <w:rPr>
          <w:sz w:val="24"/>
          <w:szCs w:val="24"/>
          <w:lang w:eastAsia="pt-BR"/>
        </w:rPr>
        <w:t>eventual erro ou abuso de poder, tampouco</w:t>
      </w:r>
      <w:r>
        <w:rPr>
          <w:sz w:val="24"/>
          <w:szCs w:val="24"/>
          <w:lang w:eastAsia="pt-BR"/>
        </w:rPr>
        <w:t xml:space="preserve"> de inversão </w:t>
      </w:r>
      <w:r w:rsidRPr="00293DDA">
        <w:rPr>
          <w:sz w:val="24"/>
          <w:szCs w:val="24"/>
          <w:lang w:eastAsia="pt-BR"/>
        </w:rPr>
        <w:t>tumultuária dos atos processuais</w:t>
      </w:r>
      <w:r>
        <w:rPr>
          <w:sz w:val="24"/>
          <w:szCs w:val="24"/>
          <w:lang w:eastAsia="pt-BR"/>
        </w:rPr>
        <w:t>.</w:t>
      </w:r>
    </w:p>
    <w:p w:rsidR="00745D3D" w:rsidRDefault="00745D3D" w:rsidP="00745D3D">
      <w:pPr>
        <w:spacing w:before="240" w:after="240" w:line="360" w:lineRule="auto"/>
        <w:ind w:firstLine="709"/>
        <w:jc w:val="both"/>
        <w:rPr>
          <w:sz w:val="24"/>
          <w:szCs w:val="24"/>
          <w:lang w:eastAsia="pt-BR"/>
        </w:rPr>
      </w:pPr>
      <w:r>
        <w:rPr>
          <w:sz w:val="24"/>
          <w:szCs w:val="24"/>
          <w:lang w:eastAsia="pt-BR"/>
        </w:rPr>
        <w:t>Em tal hipótese, admite-se a extinção d</w:t>
      </w:r>
      <w:r w:rsidR="00293DDA">
        <w:rPr>
          <w:sz w:val="24"/>
          <w:szCs w:val="24"/>
          <w:lang w:eastAsia="pt-BR"/>
        </w:rPr>
        <w:t>o feito por decisão monocrática:</w:t>
      </w:r>
    </w:p>
    <w:p w:rsidR="00745D3D" w:rsidRDefault="00293DDA" w:rsidP="00293DDA">
      <w:pPr>
        <w:spacing w:before="600" w:after="600" w:line="360" w:lineRule="auto"/>
        <w:ind w:left="2268"/>
        <w:jc w:val="both"/>
        <w:rPr>
          <w:lang w:eastAsia="pt-BR"/>
        </w:rPr>
      </w:pPr>
      <w:r>
        <w:rPr>
          <w:lang w:eastAsia="pt-BR"/>
        </w:rPr>
        <w:lastRenderedPageBreak/>
        <w:t>CORREIÇÃO PARCIAL</w:t>
      </w:r>
      <w:r>
        <w:rPr>
          <w:lang w:eastAsia="pt-BR"/>
        </w:rPr>
        <w:t>.</w:t>
      </w:r>
      <w:r>
        <w:rPr>
          <w:lang w:eastAsia="pt-BR"/>
        </w:rPr>
        <w:t xml:space="preserve"> DECISÃO QUE ACOLHEU O PEDIDO DE</w:t>
      </w:r>
      <w:r>
        <w:rPr>
          <w:lang w:eastAsia="pt-BR"/>
        </w:rPr>
        <w:t xml:space="preserve"> </w:t>
      </w:r>
      <w:r>
        <w:rPr>
          <w:lang w:eastAsia="pt-BR"/>
        </w:rPr>
        <w:t>ARQUIVAMENTO DO INQUÉRITO POLICIAL E DECLAROU A</w:t>
      </w:r>
      <w:r>
        <w:rPr>
          <w:lang w:eastAsia="pt-BR"/>
        </w:rPr>
        <w:t xml:space="preserve"> </w:t>
      </w:r>
      <w:r>
        <w:rPr>
          <w:lang w:eastAsia="pt-BR"/>
        </w:rPr>
        <w:t>EXTINÇÃO DA PUNIBILIDADE DOS INVESTIGADOS ANTE A</w:t>
      </w:r>
      <w:r>
        <w:rPr>
          <w:lang w:eastAsia="pt-BR"/>
        </w:rPr>
        <w:t xml:space="preserve"> </w:t>
      </w:r>
      <w:r>
        <w:rPr>
          <w:lang w:eastAsia="pt-BR"/>
        </w:rPr>
        <w:t>DECADÊNCIA DO PRA</w:t>
      </w:r>
      <w:r>
        <w:rPr>
          <w:lang w:eastAsia="pt-BR"/>
        </w:rPr>
        <w:t xml:space="preserve">ZO PARA REPRESENTAÇÃO CRIMINAL. </w:t>
      </w:r>
      <w:r>
        <w:rPr>
          <w:lang w:eastAsia="pt-BR"/>
        </w:rPr>
        <w:t>INSURGÊNCIA DA VÍTIMA</w:t>
      </w:r>
      <w:r>
        <w:rPr>
          <w:lang w:eastAsia="pt-BR"/>
        </w:rPr>
        <w:t xml:space="preserve">. POSTERIOR RETRATAÇÃO DO JUÍZO </w:t>
      </w:r>
      <w:r>
        <w:rPr>
          <w:lang w:eastAsia="pt-BR"/>
        </w:rPr>
        <w:t>SINGULAR</w:t>
      </w:r>
      <w:r>
        <w:rPr>
          <w:lang w:eastAsia="pt-BR"/>
        </w:rPr>
        <w:t xml:space="preserve">. </w:t>
      </w:r>
      <w:r>
        <w:rPr>
          <w:lang w:eastAsia="pt-BR"/>
        </w:rPr>
        <w:t>PERDA SUPERVENIENTE DO OBJETO</w:t>
      </w:r>
      <w:r>
        <w:rPr>
          <w:lang w:eastAsia="pt-BR"/>
        </w:rPr>
        <w:t>.</w:t>
      </w:r>
      <w:r>
        <w:rPr>
          <w:lang w:eastAsia="pt-BR"/>
        </w:rPr>
        <w:t xml:space="preserve"> PLEITO</w:t>
      </w:r>
      <w:r>
        <w:rPr>
          <w:lang w:eastAsia="pt-BR"/>
        </w:rPr>
        <w:t xml:space="preserve"> </w:t>
      </w:r>
      <w:r>
        <w:rPr>
          <w:lang w:eastAsia="pt-BR"/>
        </w:rPr>
        <w:t>PREJUDICADO.</w:t>
      </w:r>
      <w:r>
        <w:rPr>
          <w:lang w:eastAsia="pt-BR"/>
        </w:rPr>
        <w:t xml:space="preserve"> </w:t>
      </w:r>
      <w:r>
        <w:rPr>
          <w:lang w:eastAsia="pt-BR"/>
        </w:rPr>
        <w:t>(TJPR</w:t>
      </w:r>
      <w:r>
        <w:rPr>
          <w:lang w:eastAsia="pt-BR"/>
        </w:rPr>
        <w:t xml:space="preserve">. 3ª Câmara Criminal. Relator: Desembargador José Carlos Dalacqua. </w:t>
      </w:r>
      <w:r>
        <w:rPr>
          <w:lang w:eastAsia="pt-BR"/>
        </w:rPr>
        <w:t>0092667-81.2023.8.16.0000</w:t>
      </w:r>
      <w:r>
        <w:rPr>
          <w:lang w:eastAsia="pt-BR"/>
        </w:rPr>
        <w:t xml:space="preserve">. </w:t>
      </w:r>
      <w:r>
        <w:rPr>
          <w:lang w:eastAsia="pt-BR"/>
        </w:rPr>
        <w:t>Curitiba</w:t>
      </w:r>
      <w:r>
        <w:rPr>
          <w:lang w:eastAsia="pt-BR"/>
        </w:rPr>
        <w:t>. Data de Julgamento: 06-03-2024).</w:t>
      </w:r>
    </w:p>
    <w:p w:rsidR="00A4563A" w:rsidRDefault="00A4563A" w:rsidP="00A4563A">
      <w:pPr>
        <w:spacing w:before="240" w:after="240" w:line="360" w:lineRule="auto"/>
        <w:ind w:firstLine="709"/>
        <w:jc w:val="both"/>
        <w:rPr>
          <w:b/>
          <w:sz w:val="24"/>
          <w:szCs w:val="24"/>
          <w:lang w:eastAsia="pt-BR"/>
        </w:rPr>
      </w:pPr>
      <w:r w:rsidRPr="004C4063">
        <w:rPr>
          <w:b/>
          <w:sz w:val="24"/>
          <w:szCs w:val="24"/>
          <w:lang w:eastAsia="pt-BR"/>
        </w:rPr>
        <w:t xml:space="preserve">III </w:t>
      </w:r>
      <w:r>
        <w:rPr>
          <w:b/>
          <w:sz w:val="24"/>
          <w:szCs w:val="24"/>
          <w:lang w:eastAsia="pt-BR"/>
        </w:rPr>
        <w:t>–</w:t>
      </w:r>
      <w:r w:rsidRPr="004C4063">
        <w:rPr>
          <w:b/>
          <w:sz w:val="24"/>
          <w:szCs w:val="24"/>
          <w:lang w:eastAsia="pt-BR"/>
        </w:rPr>
        <w:t xml:space="preserve"> DECISÃO</w:t>
      </w:r>
    </w:p>
    <w:p w:rsidR="00293DDA" w:rsidRDefault="00745D3D" w:rsidP="00745D3D">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Ante o exposto, co</w:t>
      </w:r>
      <w:r w:rsidR="00293DDA">
        <w:rPr>
          <w:rFonts w:eastAsiaTheme="minorHAnsi"/>
          <w:sz w:val="24"/>
          <w:szCs w:val="24"/>
          <w:lang w:eastAsia="en-US"/>
        </w:rPr>
        <w:t>m fulcro no artigo 182, incisos XIX e</w:t>
      </w:r>
      <w:r>
        <w:rPr>
          <w:rFonts w:eastAsiaTheme="minorHAnsi"/>
          <w:sz w:val="24"/>
          <w:szCs w:val="24"/>
          <w:lang w:eastAsia="en-US"/>
        </w:rPr>
        <w:t xml:space="preserve"> XXIV, do Regimento Interno do Tribunal de Justiça do Estado do Paraná,</w:t>
      </w:r>
      <w:r w:rsidR="00293DDA">
        <w:rPr>
          <w:rFonts w:eastAsiaTheme="minorHAnsi"/>
          <w:sz w:val="24"/>
          <w:szCs w:val="24"/>
          <w:lang w:eastAsia="en-US"/>
        </w:rPr>
        <w:t xml:space="preserve"> julga-se extinto o presente feito, sem resolução do mérito.</w:t>
      </w:r>
    </w:p>
    <w:p w:rsidR="004864FF" w:rsidRPr="005A646E" w:rsidRDefault="00293DDA" w:rsidP="005A646E">
      <w:pPr>
        <w:spacing w:before="240" w:after="240" w:line="360" w:lineRule="auto"/>
        <w:ind w:firstLine="709"/>
        <w:jc w:val="both"/>
        <w:rPr>
          <w:sz w:val="24"/>
          <w:szCs w:val="24"/>
          <w:lang w:eastAsia="pt-BR"/>
        </w:rPr>
      </w:pPr>
      <w:r>
        <w:rPr>
          <w:sz w:val="24"/>
          <w:szCs w:val="24"/>
          <w:lang w:eastAsia="pt-BR"/>
        </w:rPr>
        <w:t>I</w:t>
      </w:r>
      <w:r w:rsidR="005A646E">
        <w:rPr>
          <w:sz w:val="24"/>
          <w:szCs w:val="24"/>
          <w:lang w:eastAsia="pt-BR"/>
        </w:rPr>
        <w:t>ntimem-se</w:t>
      </w:r>
      <w:r>
        <w:rPr>
          <w:sz w:val="24"/>
          <w:szCs w:val="24"/>
          <w:lang w:eastAsia="pt-BR"/>
        </w:rPr>
        <w:t xml:space="preserve"> e o</w:t>
      </w:r>
      <w:r w:rsidR="00A4563A">
        <w:rPr>
          <w:sz w:val="24"/>
          <w:szCs w:val="24"/>
          <w:lang w:eastAsia="pt-BR"/>
        </w:rPr>
        <w:t>portunamente, arquivem-se.</w:t>
      </w:r>
    </w:p>
    <w:sectPr w:rsidR="004864FF" w:rsidRPr="005A646E" w:rsidSect="004864F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A7E" w:rsidRDefault="00E57A7E" w:rsidP="00E57A7E">
      <w:r>
        <w:separator/>
      </w:r>
    </w:p>
  </w:endnote>
  <w:endnote w:type="continuationSeparator" w:id="0">
    <w:p w:rsidR="00E57A7E" w:rsidRDefault="00E57A7E" w:rsidP="00E5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A7E" w:rsidRDefault="00E57A7E" w:rsidP="00E57A7E">
      <w:r>
        <w:separator/>
      </w:r>
    </w:p>
  </w:footnote>
  <w:footnote w:type="continuationSeparator" w:id="0">
    <w:p w:rsidR="00E57A7E" w:rsidRDefault="00E57A7E" w:rsidP="00E57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9"/>
    <w:rsid w:val="00062DDB"/>
    <w:rsid w:val="00132CD6"/>
    <w:rsid w:val="00293DDA"/>
    <w:rsid w:val="003B0C74"/>
    <w:rsid w:val="004864FF"/>
    <w:rsid w:val="005405F5"/>
    <w:rsid w:val="005A646E"/>
    <w:rsid w:val="00704CE9"/>
    <w:rsid w:val="00745D3D"/>
    <w:rsid w:val="007C1295"/>
    <w:rsid w:val="0080753B"/>
    <w:rsid w:val="00A4563A"/>
    <w:rsid w:val="00B40E92"/>
    <w:rsid w:val="00BD3F10"/>
    <w:rsid w:val="00C64155"/>
    <w:rsid w:val="00CC75BB"/>
    <w:rsid w:val="00DA36D7"/>
    <w:rsid w:val="00E57A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68B3"/>
  <w15:chartTrackingRefBased/>
  <w15:docId w15:val="{D3730363-B3BA-4D3E-BDB1-007CEEE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E57A7E"/>
  </w:style>
  <w:style w:type="character" w:customStyle="1" w:styleId="TextodenotadefimChar">
    <w:name w:val="Texto de nota de fim Char"/>
    <w:basedOn w:val="Fontepargpadro"/>
    <w:link w:val="Textodenotadefim"/>
    <w:uiPriority w:val="99"/>
    <w:semiHidden/>
    <w:rsid w:val="00E57A7E"/>
    <w:rPr>
      <w:rFonts w:ascii="Times New Roman" w:eastAsia="Times New Roman" w:hAnsi="Times New Roman" w:cs="Times New Roman"/>
      <w:sz w:val="20"/>
      <w:szCs w:val="20"/>
      <w:lang w:eastAsia="ar-SA"/>
    </w:rPr>
  </w:style>
  <w:style w:type="character" w:styleId="Refdenotadefim">
    <w:name w:val="endnote reference"/>
    <w:basedOn w:val="Fontepargpadro"/>
    <w:uiPriority w:val="99"/>
    <w:semiHidden/>
    <w:unhideWhenUsed/>
    <w:rsid w:val="00E57A7E"/>
    <w:rPr>
      <w:vertAlign w:val="superscript"/>
    </w:rPr>
  </w:style>
  <w:style w:type="paragraph" w:styleId="PargrafodaLista">
    <w:name w:val="List Paragraph"/>
    <w:basedOn w:val="Normal"/>
    <w:uiPriority w:val="34"/>
    <w:qFormat/>
    <w:rsid w:val="00132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6453">
      <w:bodyDiv w:val="1"/>
      <w:marLeft w:val="0"/>
      <w:marRight w:val="0"/>
      <w:marTop w:val="0"/>
      <w:marBottom w:val="0"/>
      <w:divBdr>
        <w:top w:val="none" w:sz="0" w:space="0" w:color="auto"/>
        <w:left w:val="none" w:sz="0" w:space="0" w:color="auto"/>
        <w:bottom w:val="none" w:sz="0" w:space="0" w:color="auto"/>
        <w:right w:val="none" w:sz="0" w:space="0" w:color="auto"/>
      </w:divBdr>
    </w:div>
    <w:div w:id="119696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21C35-BB42-400F-9FBA-667D6A9ECB32}">
  <ds:schemaRefs>
    <ds:schemaRef ds:uri="http://schemas.openxmlformats.org/officeDocument/2006/bibliography"/>
  </ds:schemaRefs>
</ds:datastoreItem>
</file>

<file path=customXml/itemProps2.xml><?xml version="1.0" encoding="utf-8"?>
<ds:datastoreItem xmlns:ds="http://schemas.openxmlformats.org/officeDocument/2006/customXml" ds:itemID="{2E245135-0EBA-4D1F-B854-25D697DE8C91}"/>
</file>

<file path=customXml/itemProps3.xml><?xml version="1.0" encoding="utf-8"?>
<ds:datastoreItem xmlns:ds="http://schemas.openxmlformats.org/officeDocument/2006/customXml" ds:itemID="{18EC5592-AD16-4D14-A13B-91D0C9E2205E}"/>
</file>

<file path=customXml/itemProps4.xml><?xml version="1.0" encoding="utf-8"?>
<ds:datastoreItem xmlns:ds="http://schemas.openxmlformats.org/officeDocument/2006/customXml" ds:itemID="{9E855AD2-6507-482B-8C19-852F0FE0638C}"/>
</file>

<file path=docProps/app.xml><?xml version="1.0" encoding="utf-8"?>
<Properties xmlns="http://schemas.openxmlformats.org/officeDocument/2006/extended-properties" xmlns:vt="http://schemas.openxmlformats.org/officeDocument/2006/docPropsVTypes">
  <Template>Normal</Template>
  <TotalTime>144</TotalTime>
  <Pages>2</Pages>
  <Words>340</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7</cp:revision>
  <dcterms:created xsi:type="dcterms:W3CDTF">2023-06-26T17:41:00Z</dcterms:created>
  <dcterms:modified xsi:type="dcterms:W3CDTF">2024-05-21T21:56:00Z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352800</vt:r8>
  </property>
</Properties>
</file>