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 w:rsidRPr="00903197">
        <w:rPr>
          <w:b/>
          <w:bCs/>
        </w:rPr>
        <w:t>I - RELATÓRIO</w:t>
      </w:r>
    </w:p>
    <w:p w:rsidR="002E5323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 por</w:t>
      </w:r>
      <w:r w:rsidR="00733889" w:rsidRPr="00903197">
        <w:t xml:space="preserve"> </w:t>
      </w:r>
      <w:r w:rsidR="00246405">
        <w:t>Mueller Eletrodomésticos Ltda. em face de Britânia Eletrodoméstico S. A.</w:t>
      </w:r>
      <w:r w:rsidR="00197AC5">
        <w:t xml:space="preserve">, tendo como objeto decisão proferida pelo juízo da 27ª Vara Empresarial de Curitiba, que deferiu tutela de urgência </w:t>
      </w:r>
      <w:r w:rsidR="002E5323">
        <w:t xml:space="preserve">para que: a) a parte agravante </w:t>
      </w:r>
      <w:r w:rsidR="002E5323">
        <w:t xml:space="preserve">se abstenha de importar, exportar, manter em estoque, distribuir, fabricar, ofertar ou comercializar, em meios físicos e digitais, produtos que reproduzam ou imitem as marcas de titularidade da </w:t>
      </w:r>
      <w:r w:rsidR="002E5323">
        <w:t xml:space="preserve">agravada; b) autorizar </w:t>
      </w:r>
      <w:r w:rsidR="008768CF">
        <w:t>a retenção da carga pela Refeita Federal (evento 19.1 – autos de origem).</w:t>
      </w:r>
    </w:p>
    <w:p w:rsidR="008768CF" w:rsidRDefault="008768CF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 a parte agravante, em apertada síntese, a atribuição de eficácia suspensiva ao agravo, sob alegação de risco de dano grave, de impossível ou difícil reparação, decorrente da interrupção do processo de transporte da carga até a Argentina (evento 1.1).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Passa-se, à luz do disposto no artigo</w:t>
      </w:r>
      <w:r w:rsidR="00197AC5">
        <w:t xml:space="preserve"> </w:t>
      </w:r>
      <w:r w:rsidRPr="00903197">
        <w:t>1.019, inciso I, do Código de Processo Civil, e no artigo 182, inciso XXII, do Regimento Interno do Tribunal de Justiça, à análise do requerimento de atribuição de</w:t>
      </w:r>
      <w:r w:rsidR="008768CF">
        <w:t xml:space="preserve"> efeito suspensivo </w:t>
      </w:r>
      <w:r w:rsidR="00197AC5">
        <w:t>ao recurso.</w:t>
      </w:r>
    </w:p>
    <w:p w:rsidR="00122FBA" w:rsidRDefault="002E5323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Cinge-</w:t>
      </w:r>
      <w:r w:rsidR="008768CF">
        <w:t xml:space="preserve">se a controvérsia recursal a pretensão de reexame de decisão concessiva de tutela de urgência para determinar a abstenção da exploração comercial de determinada marca, bem como a retenção das mercadorias importadas pela parte agravada, gravadas com o componente </w:t>
      </w:r>
      <w:proofErr w:type="spellStart"/>
      <w:r w:rsidR="008768CF">
        <w:t>marcário</w:t>
      </w:r>
      <w:proofErr w:type="spellEnd"/>
      <w:r w:rsidR="008768CF">
        <w:t xml:space="preserve"> objeto de preservação.</w:t>
      </w:r>
    </w:p>
    <w:p w:rsidR="002E5323" w:rsidRDefault="008768CF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 parte agravante, entrementes, sustenta que as mercadorias não serão distribuídas ou vendidas no Brasil. Apesar de aportadas em Santa Catarina, estão em rota de transporte com destino à Argentina, país em que possui autorização para uso da marca (eventos 1.7 e 1.8 – autos de origem).</w:t>
      </w:r>
    </w:p>
    <w:p w:rsidR="002E5323" w:rsidRDefault="002E5323" w:rsidP="002E5323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Assim, ainda que em juízo perfunctório, é possível constatar a inexistência do risco de dano incialmente verificado pelo juízo de origem, posto que a mercadoria, como visto, tem como destino outro país e não será submetida a exploração comercial em território nacional.</w:t>
      </w:r>
    </w:p>
    <w:p w:rsidR="002E5323" w:rsidRPr="002E5323" w:rsidRDefault="002E5323" w:rsidP="002E5323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 partir de tal inferência, resulta desconstituído o pressuposto da urgência que apoiou a tutela de urgência inicialmente concedida, do que se extrai, por consectário, a probabilidade de provimento do recurso.</w:t>
      </w:r>
    </w:p>
    <w:p w:rsidR="00122FBA" w:rsidRDefault="00122FBA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De outro lado, o risco de dano encontra-se matizado no atraso do transporte das mercadorias para </w:t>
      </w:r>
      <w:r w:rsidR="002E5323">
        <w:t>seu</w:t>
      </w:r>
      <w:r>
        <w:t xml:space="preserve"> destino final, a Argentina, com correlata interrupção da atividade comercial da parte.</w:t>
      </w:r>
    </w:p>
    <w:p w:rsidR="002E5323" w:rsidRDefault="002E5323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Não há, outrossim, risco de dano inverso, posto que eventual </w:t>
      </w:r>
      <w:proofErr w:type="spellStart"/>
      <w:r>
        <w:t>tredestinação</w:t>
      </w:r>
      <w:proofErr w:type="spellEnd"/>
      <w:r>
        <w:t xml:space="preserve"> da carga em relação ao destino anunciado, a ser apurada durante a instrução, poderá ensejar a reparação material correspondente, em ação própria.</w:t>
      </w:r>
    </w:p>
    <w:p w:rsidR="00122FBA" w:rsidRDefault="002E5323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Assim, a partir do exame dos noveis elementos de informação, reputam-se satisfeitos os requisitos do artigo 300 do Código de Processo Civil, a justificar concessão de tutela recursal antecipada.</w:t>
      </w:r>
    </w:p>
    <w:p w:rsidR="002E5323" w:rsidRPr="00903197" w:rsidRDefault="002E5323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III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122FBA">
        <w:t>defere-se a antecipação dos efeitos da tutela recursal</w:t>
      </w:r>
      <w:r w:rsidR="00D72BA8" w:rsidRPr="00903197">
        <w:t>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lastRenderedPageBreak/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Intime-se a parte agravada, facultando-se resposta no prazo legal (CPC, art. 1.019, II).</w:t>
      </w:r>
    </w:p>
    <w:p w:rsidR="00DA36D7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Após, concluam-se os autos. 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122FBA"/>
    <w:rsid w:val="00197AC5"/>
    <w:rsid w:val="00246405"/>
    <w:rsid w:val="002A7FA2"/>
    <w:rsid w:val="002E5323"/>
    <w:rsid w:val="006E73AD"/>
    <w:rsid w:val="00704CE9"/>
    <w:rsid w:val="00733889"/>
    <w:rsid w:val="008768CF"/>
    <w:rsid w:val="00903197"/>
    <w:rsid w:val="00BD3F10"/>
    <w:rsid w:val="00C957C8"/>
    <w:rsid w:val="00D72BA8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6D8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4B41E-DF9B-4CE3-83BE-129BF3AF2059}"/>
</file>

<file path=customXml/itemProps2.xml><?xml version="1.0" encoding="utf-8"?>
<ds:datastoreItem xmlns:ds="http://schemas.openxmlformats.org/officeDocument/2006/customXml" ds:itemID="{9F1C1E07-4C42-4C69-AD5F-3FE720D13CEC}"/>
</file>

<file path=customXml/itemProps3.xml><?xml version="1.0" encoding="utf-8"?>
<ds:datastoreItem xmlns:ds="http://schemas.openxmlformats.org/officeDocument/2006/customXml" ds:itemID="{8C9C01C8-3D60-44FC-B872-C96B442F56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2024-10-17T21:16:00Z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311200</vt:r8>
  </property>
</Properties>
</file>