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2CAD" w14:textId="6CBA064C" w:rsidR="000E6E40" w:rsidRPr="00073A6D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CIVIL. EMBARGOS DE DECLARAÇÃO. SUBSTITUIÇÃO. HIPÓTESE REGIMENTAL. NULIDADE AFASTADA. AUSÊNCIA DE VÍCIOS. MERO INCONFORMISMO. LITIGÂNCIA DE MÁ-FÉ. INOCORRÊNCIA.</w:t>
      </w:r>
    </w:p>
    <w:p w14:paraId="52C9D9D7" w14:textId="77777777" w:rsidR="000E6E40" w:rsidRPr="00073A6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1F864064" w14:textId="4C6DA307" w:rsidR="008205C3" w:rsidRPr="00073A6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073A6D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 julgou des</w:t>
      </w:r>
      <w:r w:rsidR="009C15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providos</w:t>
      </w:r>
      <w:r w:rsidR="00073A6D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embargos de declaração, sob alegação de que os vícios anteriormente apontados se protraíram na nova decisão, constituindo-se negativa de prestação jurisdicional.</w:t>
      </w:r>
    </w:p>
    <w:p w14:paraId="17482947" w14:textId="4B15D15B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1A7907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ÕES </w:t>
      </w:r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 DISCUSSÃO</w:t>
      </w:r>
    </w:p>
    <w:p w14:paraId="7A9F6D17" w14:textId="098628D9" w:rsidR="00073A6D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II.I. Configuração de nulidade, decorrente da substituição do relator originário.</w:t>
      </w:r>
    </w:p>
    <w:p w14:paraId="0DA3C499" w14:textId="193EEC75" w:rsidR="00073A6D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II.II. Avaliação de hipóteses de configuração de omissão, contradição e erro material no julgado.</w:t>
      </w:r>
    </w:p>
    <w:p w14:paraId="50A82C95" w14:textId="35584477" w:rsidR="00073A6D" w:rsidRPr="00073A6D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Prática de litigância de má-fé, em razão do uso sucessivo de recurso de embargos de declaração.</w:t>
      </w:r>
    </w:p>
    <w:p w14:paraId="466457B1" w14:textId="265FAB06" w:rsidR="000E6E40" w:rsidRPr="00073A6D" w:rsidRDefault="009C15FA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II.IV. </w:t>
      </w:r>
      <w:r w:rsidR="000E6E40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Avaliação de omissões alegadas na construção lógica do pronunciamento judicial, sobre os fundamentos da responsabilidade solidária.</w:t>
      </w:r>
    </w:p>
    <w:p w14:paraId="12850568" w14:textId="77777777" w:rsidR="000E6E40" w:rsidRPr="00073A6D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38AB8622" w14:textId="11812CB7" w:rsidR="00073A6D" w:rsidRPr="00073A6D" w:rsidRDefault="00073A6D" w:rsidP="00073A6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073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III.I</w:t>
      </w:r>
      <w:proofErr w:type="spellEnd"/>
      <w:r w:rsidRPr="00073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. A possibilidade de substituição do relator originário, na forma do </w:t>
      </w:r>
      <w:r w:rsidR="009C15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</w:t>
      </w:r>
      <w:r w:rsidRPr="00073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egimento </w:t>
      </w:r>
      <w:r w:rsidR="009C15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</w:t>
      </w:r>
      <w:r w:rsidRPr="00073A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nterno, não viola o devido processo legal, nem o princípio do juiz natural, além de configurar legítima exceção ao princípio da identidade física do juiz.</w:t>
      </w:r>
    </w:p>
    <w:p w14:paraId="2531FB2A" w14:textId="239D35BC" w:rsidR="000E6E40" w:rsidRPr="00073A6D" w:rsidRDefault="00073A6D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9C15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prestam-se a</w:t>
      </w:r>
      <w:r w:rsidR="000E6E40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esclarecer obscuridade, eliminar contradição, suprir omissão ou corrigir erro material, sendo defesa sua utilização como sucedâneo recursal para manifestação de mero inconformismo.</w:t>
      </w:r>
    </w:p>
    <w:p w14:paraId="2E4AE0AB" w14:textId="61232B30" w:rsidR="001A7907" w:rsidRPr="00073A6D" w:rsidRDefault="00073A6D" w:rsidP="001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III.III</w:t>
      </w:r>
      <w:proofErr w:type="spellEnd"/>
      <w:r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1A7907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simples interposição de embargos de declaração, sem comprovação </w:t>
      </w:r>
      <w:r w:rsidR="009C15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intenção de manifesta protelação</w:t>
      </w:r>
      <w:r w:rsidR="001A7907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, não permite imposição da multa </w:t>
      </w:r>
      <w:commentRangeStart w:id="0"/>
      <w:r w:rsidR="001A7907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correlata</w:t>
      </w:r>
      <w:commentRangeEnd w:id="0"/>
      <w:r w:rsidR="009C15FA">
        <w:rPr>
          <w:rStyle w:val="Refdecomentrio"/>
        </w:rPr>
        <w:commentReference w:id="0"/>
      </w:r>
      <w:r w:rsidR="001A7907" w:rsidRPr="00073A6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097D2F16" w14:textId="77777777" w:rsidR="000E6E40" w:rsidRPr="009814B2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760F44FC" w:rsidR="000E6E40" w:rsidRPr="008C632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conhecido e </w:t>
      </w:r>
      <w:r w:rsidR="008205C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8C6321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2D457791" w14:textId="5DFD4A77" w:rsidR="001A7907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8C632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Jurisprudência:</w:t>
      </w:r>
    </w:p>
    <w:p w14:paraId="38B65968" w14:textId="518292E0" w:rsidR="001A7907" w:rsidRPr="001A7907" w:rsidRDefault="001A7907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STJ. Segunda Turma. Relator: Ministro Franscisco Falcão. </w:t>
      </w:r>
      <w:proofErr w:type="spellStart"/>
      <w:r w:rsidRPr="001A7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AgInt</w:t>
      </w:r>
      <w:proofErr w:type="spellEnd"/>
      <w:r w:rsidRPr="001A7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REsp n. 1.995.068/PE. Data de julgamento: 10-10-2022. Data de publicação: 13-10-2022;</w:t>
      </w:r>
    </w:p>
    <w:p w14:paraId="3924ACD5" w14:textId="19497EA8" w:rsidR="001A7907" w:rsidRPr="001A7907" w:rsidRDefault="001A7907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907">
        <w:rPr>
          <w:rFonts w:ascii="Times New Roman" w:hAnsi="Times New Roman" w:cs="Times New Roman"/>
          <w:b/>
          <w:bCs/>
          <w:sz w:val="24"/>
          <w:szCs w:val="24"/>
        </w:rPr>
        <w:t xml:space="preserve">STJ. 1ª Seção. Relator: Ministro Mauro Campbell Marques. EDcl. no AgRg. nos </w:t>
      </w:r>
      <w:proofErr w:type="spellStart"/>
      <w:r w:rsidRPr="001A7907">
        <w:rPr>
          <w:rFonts w:ascii="Times New Roman" w:hAnsi="Times New Roman" w:cs="Times New Roman"/>
          <w:b/>
          <w:bCs/>
          <w:sz w:val="24"/>
          <w:szCs w:val="24"/>
        </w:rPr>
        <w:t>EAREsp</w:t>
      </w:r>
      <w:proofErr w:type="spellEnd"/>
      <w:r w:rsidRPr="001A7907">
        <w:rPr>
          <w:rFonts w:ascii="Times New Roman" w:hAnsi="Times New Roman" w:cs="Times New Roman"/>
          <w:b/>
          <w:bCs/>
          <w:sz w:val="24"/>
          <w:szCs w:val="24"/>
        </w:rPr>
        <w:t>. n. 620.940/RS. Data de Julgamento: 14-09-2016. Data de Publicação: 21-09-2016;</w:t>
      </w:r>
    </w:p>
    <w:p w14:paraId="39BC4E48" w14:textId="01002219" w:rsidR="001A7907" w:rsidRPr="001A7907" w:rsidRDefault="001A7907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7907">
        <w:rPr>
          <w:rFonts w:ascii="Times New Roman" w:hAnsi="Times New Roman" w:cs="Times New Roman"/>
          <w:b/>
          <w:bCs/>
          <w:iCs/>
          <w:sz w:val="24"/>
          <w:szCs w:val="24"/>
        </w:rPr>
        <w:t>STJ. Terceira Turma. Relatora: Ministra Nancy Andrighi. REsp n. 1.423.942/SP. Data de julgamento: 26-09-2017. Data de publicação: 29-09-2017.</w:t>
      </w:r>
    </w:p>
    <w:p w14:paraId="5FFB9405" w14:textId="49D2B6E4" w:rsidR="001A7907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9814B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Legislação:</w:t>
      </w:r>
    </w:p>
    <w:p w14:paraId="69BC6DD2" w14:textId="5AD6C1D6" w:rsidR="000E6E40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36436BB3" w14:textId="1D21C232" w:rsidR="001A7907" w:rsidRPr="009814B2" w:rsidRDefault="001A7907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Regimento Interno do Tribunal de Justiça do Estado do Paraná: art. 11, XVII, a; art. 54, III, c; art. 58; art. 59, III.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EA2CF84" w14:textId="29540A14" w:rsidR="00ED2172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F179E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53657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</w:t>
      </w:r>
      <w:proofErr w:type="spellStart"/>
      <w:r w:rsidR="0053657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Antonio</w:t>
      </w:r>
      <w:proofErr w:type="spellEnd"/>
      <w:r w:rsidR="0053657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Francisco Corrêa Athayde em face de Laguna Administradora de Bens Ltda., </w:t>
      </w:r>
      <w:r w:rsidR="00073A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tendo como objeto</w:t>
      </w:r>
      <w:r w:rsidR="009C15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venerando</w:t>
      </w:r>
      <w:r w:rsidR="00073A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acórdão proferido em recurso de embargos de declaração pela</w:t>
      </w:r>
      <w:r w:rsidR="009C15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colenda</w:t>
      </w:r>
      <w:r w:rsidR="00073A6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19ª Câmara Cível do Tribunal de Justiça do Estado do Paraná (evento 27.1 – ED).</w:t>
      </w:r>
    </w:p>
    <w:p w14:paraId="4E2F52C8" w14:textId="3BA70C04" w:rsidR="00073A6D" w:rsidRDefault="00073A6D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Eis, em síntese, as razões de inconformismo:</w:t>
      </w:r>
      <w:r w:rsidR="00D4302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a) nulidade do julgado, por violação ao princípio do juiz natural, em razão da substituição do relator originário; b) acometimento do acórdão embargado por omissões, contradição e erro material (evento 1.1).</w:t>
      </w:r>
    </w:p>
    <w:p w14:paraId="03CBF409" w14:textId="4363BE44" w:rsidR="00F179EC" w:rsidRDefault="00D43025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parte embargada sustentou que: a) a decisão objurgada não possui vícios a serem colmatados; b) o recurso é meramente protelatório, o que enseja aplicação de multa (evento 10.1).</w:t>
      </w:r>
    </w:p>
    <w:p w14:paraId="4FEDC7FD" w14:textId="599F6632" w:rsidR="003F76F3" w:rsidRPr="003F76F3" w:rsidRDefault="00F179E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0645D382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F179E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interpostos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57ED27" w14:textId="79BA1DB2" w:rsidR="00F179EC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</w:t>
      </w:r>
      <w:r w:rsidR="00F179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</w:t>
      </w:r>
      <w:r w:rsidR="00972B9C">
        <w:rPr>
          <w:rFonts w:ascii="Times New Roman" w:eastAsia="Times New Roman" w:hAnsi="Times New Roman" w:cs="Times New Roman"/>
          <w:sz w:val="24"/>
          <w:szCs w:val="24"/>
          <w:lang w:eastAsia="pt-BR"/>
        </w:rPr>
        <w:t>DA SUBSTITUIÇÃO DO RELATOR</w:t>
      </w:r>
    </w:p>
    <w:p w14:paraId="561AFE4A" w14:textId="1D3CABA1" w:rsidR="00226084" w:rsidRDefault="00C31731" w:rsidP="0022608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Sustenta o embargante, neste ponto, </w:t>
      </w:r>
      <w:r w:rsidR="00226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acometimento do acórdão impugnado por nulidade. Na ótica da parte, a substituição do relator originário, em 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suposta </w:t>
      </w:r>
      <w:r w:rsidR="00226084">
        <w:rPr>
          <w:rFonts w:ascii="Times New Roman" w:eastAsia="Times New Roman" w:hAnsi="Times New Roman" w:cs="Times New Roman"/>
          <w:sz w:val="24"/>
          <w:szCs w:val="24"/>
          <w:lang w:eastAsia="pt-BR"/>
        </w:rPr>
        <w:t>desconformidade com o disposto no art. 54, inciso III, alínea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C15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226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art. 58 do Regimento Interno do Tribunal de Justiça do Paraná, viola o princípio do juiz natural e o devido processo legal.</w:t>
      </w:r>
    </w:p>
    <w:p w14:paraId="4167BE15" w14:textId="77777777" w:rsidR="001B55D7" w:rsidRDefault="0022608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pretensão carece de plausibilidade jurídica.</w:t>
      </w:r>
    </w:p>
    <w:p w14:paraId="4F17498F" w14:textId="43191BA7" w:rsidR="001B55D7" w:rsidRDefault="001B55D7" w:rsidP="001B55D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Nenhum do</w:t>
      </w:r>
      <w:r w:rsidR="00226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dispositivos regimentais mencionados pela parte possuem relação com a hipótese de substituição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Desembargador Substituto em razão do afastamento do relator originário. O primeiro regula hipóteses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substituição em caso de aposentadoria, renúncia ou morte do titular. O segundo veda a possibilidade de o titular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afastar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devolver processos que recebeu em conclusão durante seu afastamento.</w:t>
      </w:r>
    </w:p>
    <w:p w14:paraId="48F5949A" w14:textId="64706465" w:rsidR="00226084" w:rsidRDefault="00F231A4" w:rsidP="00F231A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substituição ordenada no caso dos autos decorre de designação pela </w:t>
      </w:r>
      <w:r w:rsidR="002260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Portaria nº 7.802/2024, lavrada pelo então Presidente deste Sodalício, o Excelentíssimo Desembargador Luiz Fernando Tomasi </w:t>
      </w:r>
      <w:proofErr w:type="spellStart"/>
      <w:r w:rsidR="00226084">
        <w:rPr>
          <w:rFonts w:ascii="Times New Roman" w:eastAsia="Times New Roman" w:hAnsi="Times New Roman" w:cs="Times New Roman"/>
          <w:sz w:val="24"/>
          <w:szCs w:val="24"/>
          <w:lang w:eastAsia="pt-BR"/>
        </w:rPr>
        <w:t>Keppen</w:t>
      </w:r>
      <w:proofErr w:type="spellEnd"/>
      <w:r w:rsidR="007028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="007028A3">
        <w:rPr>
          <w:rFonts w:ascii="Times New Roman" w:eastAsia="Times New Roman" w:hAnsi="Times New Roman" w:cs="Times New Roman"/>
          <w:sz w:val="24"/>
          <w:szCs w:val="24"/>
          <w:lang w:eastAsia="pt-BR"/>
        </w:rPr>
        <w:t>RITJPR</w:t>
      </w:r>
      <w:proofErr w:type="spellEnd"/>
      <w:r w:rsidR="007028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art. 11, XVII, </w:t>
      </w:r>
      <w:r w:rsidR="007028A3" w:rsidRPr="00CB188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="007028A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vinculação para relatoria, em caráter de substituição, encontra expressa previsão no artigo 59, inciso III, do Regimento Interno.</w:t>
      </w:r>
    </w:p>
    <w:p w14:paraId="65E867DB" w14:textId="541A0FCF" w:rsidR="00AC5279" w:rsidRDefault="00AC5279" w:rsidP="00F231A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há, pois, falar em violação das garantias ao juiz natural ou da identidade física do juiz.</w:t>
      </w:r>
    </w:p>
    <w:p w14:paraId="07A71B47" w14:textId="3546AAA3" w:rsidR="00AC5279" w:rsidRDefault="007028A3" w:rsidP="00F231A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de regimentalmente adequada, a possibilidade de substituição do 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elator possui respaldo na jurisprudência do Superior Tribunal de Justiça</w:t>
      </w:r>
      <w:r w:rsidR="00AC527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41DC88" w14:textId="77777777" w:rsidR="00AC5279" w:rsidRDefault="00AC5279" w:rsidP="00F231A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exemplo:</w:t>
      </w:r>
    </w:p>
    <w:p w14:paraId="3C7AEF9E" w14:textId="3FB64810" w:rsidR="007028A3" w:rsidRDefault="007028A3" w:rsidP="00F231A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DF8814" w14:textId="12E32E54" w:rsidR="007028A3" w:rsidRDefault="007028A3" w:rsidP="007028A3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028A3">
        <w:rPr>
          <w:rFonts w:ascii="Times New Roman" w:eastAsia="Times New Roman" w:hAnsi="Times New Roman" w:cs="Times New Roman"/>
          <w:sz w:val="20"/>
          <w:szCs w:val="20"/>
          <w:lang w:eastAsia="pt-BR"/>
        </w:rPr>
        <w:t>PROCESSUAL CIVIL. ADMINISTRATIVO. MANDADO DE SEGURANÇA. CONTRATO DE PERMISSÃO DE SERVIÇO PÚBLICO FORMALIZADO ANTES DA ALTERAÇÃO LEGISLATIVA PROMOVIDA PELA LEI N. 10.684/2003. NEGATIVA DE PRESTAÇÃO JURISDICIONAL NÃO VERIFICADA. FUNDAMENTO AUTÔNOMO E SUFICIENTE NÃO IMPUGNADO PELO APELO NOBRE. SÚMULA N. 283 E 284/STF. ANÁLISE DE DISPOSITIVOS CONSTITUCIONAIS. REEXAME DE FATOS E PROVAS. SÚMULA N. 7/STJ. ANÁLISE DA DIVERGÊNCIA PREJUDICADA. DESPROVIMENTO DO AGRAVO INTERNO. MANUTENÇÃO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028A3">
        <w:rPr>
          <w:rFonts w:ascii="Times New Roman" w:eastAsia="Times New Roman" w:hAnsi="Times New Roman" w:cs="Times New Roman"/>
          <w:sz w:val="20"/>
          <w:szCs w:val="20"/>
          <w:lang w:eastAsia="pt-BR"/>
        </w:rPr>
        <w:t>DA DECISÃO RECORRIDA.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[...] </w:t>
      </w:r>
      <w:r w:rsidRPr="007028A3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XIV - </w:t>
      </w:r>
      <w:r w:rsidRPr="007028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Com efeito, a possibilidade de juízes convocados integrarem os tribunais na condição de substitutos é assegurada pela jurisprudência dos tribunais superiores e não viola o devido processo legal, nem o princípio do juiz natural, além de configurar legítima exceção ao princípio da identidade física do juiz</w:t>
      </w:r>
      <w:r w:rsidRPr="007028A3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[...] </w:t>
      </w:r>
      <w:r w:rsidRPr="007028A3">
        <w:rPr>
          <w:rFonts w:ascii="Times New Roman" w:eastAsia="Times New Roman" w:hAnsi="Times New Roman" w:cs="Times New Roman"/>
          <w:sz w:val="20"/>
          <w:szCs w:val="20"/>
          <w:lang w:eastAsia="pt-BR"/>
        </w:rPr>
        <w:t>XVIII - Agravo interno improvido.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(STJ. Segunda Turma. Relator: Ministro Franscisco Falcão. </w:t>
      </w:r>
      <w:proofErr w:type="spellStart"/>
      <w:r w:rsidRPr="007028A3">
        <w:rPr>
          <w:rFonts w:ascii="Times New Roman" w:eastAsia="Times New Roman" w:hAnsi="Times New Roman" w:cs="Times New Roman"/>
          <w:sz w:val="20"/>
          <w:szCs w:val="20"/>
          <w:lang w:eastAsia="pt-BR"/>
        </w:rPr>
        <w:t>AgInt</w:t>
      </w:r>
      <w:proofErr w:type="spellEnd"/>
      <w:r w:rsidRPr="007028A3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REsp n. 1.995.068/PE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 Data de julgamento: 10-10-2022. Data de publicação: 13-10-2022).</w:t>
      </w:r>
    </w:p>
    <w:p w14:paraId="569D77F9" w14:textId="0FE8ADFF" w:rsidR="00AC5279" w:rsidRDefault="00AC5279" w:rsidP="00AC527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7C352C" w14:textId="6DED7629" w:rsidR="005F52E1" w:rsidRDefault="00AC527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afasta-se o repto recursal.</w:t>
      </w:r>
    </w:p>
    <w:p w14:paraId="70E7B547" w14:textId="77777777" w:rsidR="00AC5279" w:rsidRDefault="00AC527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730D084D" w:rsidR="00E71385" w:rsidRDefault="000D5FE8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DO MÉRITO </w:t>
      </w:r>
    </w:p>
    <w:p w14:paraId="42709DFA" w14:textId="5604710D" w:rsidR="000E6E40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>constata-se que a pretensão declaratória constitui evidente inconformismo com a solução jurídica adotada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>, hipótese incompatível com o perfil normativo do art. 1.022 do Código de Processo Civil.</w:t>
      </w:r>
    </w:p>
    <w:p w14:paraId="31DEA2DC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451AAB89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3389E7" w14:textId="77777777" w:rsidR="00E71385" w:rsidRDefault="00E71385" w:rsidP="00E71385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26A8A013" w14:textId="77777777" w:rsidR="000E6E40" w:rsidRDefault="000E6E40" w:rsidP="001A7907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90B5531" w14:textId="77777777" w:rsidR="00AC5279" w:rsidRDefault="00AC5279" w:rsidP="000E6E4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recurso constitui evidente repetição dos embargos anteriores.</w:t>
      </w:r>
    </w:p>
    <w:p w14:paraId="23FB76AE" w14:textId="32DF3B79" w:rsidR="00AC5279" w:rsidRDefault="00AC5279" w:rsidP="000E6E4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Naqueles, 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as teses jurídicas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veiculadas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objeto de percuciente análise e a decisão, exposta mediante fundamentação plena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sem nenhuma contradição, omissão, obscuridade ou erro material.</w:t>
      </w:r>
    </w:p>
    <w:p w14:paraId="5229F54D" w14:textId="2C77A608" w:rsidR="00AC5279" w:rsidRDefault="000E6E40" w:rsidP="00AC527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simples leitura dos fundamentos do pronunciamento embargado, logicamente organizado pelos tópicos inscritos em seu relatório, viabiliza tal inferência.</w:t>
      </w:r>
    </w:p>
    <w:p w14:paraId="543377DD" w14:textId="3BABEEB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Ausente, pois, propósito de colmatação do julgado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da matéria, não se cogita</w:t>
      </w:r>
      <w:r w:rsidR="000E6E40">
        <w:rPr>
          <w:rFonts w:ascii="Times New Roman" w:eastAsia="Times New Roman" w:hAnsi="Times New Roman" w:cs="Times New Roman"/>
          <w:sz w:val="24"/>
          <w:szCs w:val="24"/>
          <w:lang w:eastAsia="pt-BR"/>
        </w:rPr>
        <w:t>, a rigor do disposto no artigo 1.022 do Código de Processo Civil,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="00AC5279">
        <w:rPr>
          <w:rFonts w:ascii="Times New Roman" w:eastAsia="Times New Roman" w:hAnsi="Times New Roman" w:cs="Times New Roman"/>
          <w:sz w:val="24"/>
          <w:szCs w:val="24"/>
          <w:lang w:eastAsia="pt-BR"/>
        </w:rPr>
        <w:t>acolhimento da pretensão recursal.</w:t>
      </w:r>
    </w:p>
    <w:p w14:paraId="6BE36BE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48625F" w14:textId="1134EB64" w:rsidR="00972B9C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72B9C">
        <w:rPr>
          <w:rFonts w:ascii="Times New Roman" w:eastAsia="Times New Roman" w:hAnsi="Times New Roman" w:cs="Times New Roman"/>
          <w:sz w:val="24"/>
          <w:szCs w:val="24"/>
          <w:lang w:eastAsia="pt-BR"/>
        </w:rPr>
        <w:t>– DA PENALIDADE PROCESSUAL</w:t>
      </w:r>
    </w:p>
    <w:p w14:paraId="40BAA4ED" w14:textId="77777777" w:rsidR="001A7907" w:rsidRPr="008D5184" w:rsidRDefault="001A7907" w:rsidP="001A790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1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fim, contrariamente ao argumentado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parte embargada, </w:t>
      </w:r>
      <w:r w:rsidRPr="008D5184">
        <w:rPr>
          <w:rFonts w:ascii="Times New Roman" w:eastAsia="Times New Roman" w:hAnsi="Times New Roman" w:cs="Times New Roman"/>
          <w:sz w:val="24"/>
          <w:szCs w:val="24"/>
          <w:lang w:eastAsia="pt-BR"/>
        </w:rPr>
        <w:t>o manejo do recurso em questão não ocorreu em excesso ao legítimo exercício das garantias processuais à ampla defesa e ao contraditório.</w:t>
      </w:r>
    </w:p>
    <w:p w14:paraId="5355EDBD" w14:textId="0314EB71" w:rsidR="001A7907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184">
        <w:rPr>
          <w:rFonts w:ascii="Times New Roman" w:hAnsi="Times New Roman" w:cs="Times New Roman"/>
          <w:iCs/>
          <w:sz w:val="24"/>
          <w:szCs w:val="24"/>
        </w:rPr>
        <w:t xml:space="preserve">Para caracterização </w:t>
      </w:r>
      <w:r w:rsidR="009C15FA">
        <w:rPr>
          <w:rFonts w:ascii="Times New Roman" w:hAnsi="Times New Roman" w:cs="Times New Roman"/>
          <w:iCs/>
          <w:sz w:val="24"/>
          <w:szCs w:val="24"/>
        </w:rPr>
        <w:t>da manifesta protelação, categoria instituída no art. 1.026, § 2.º, do Código de Processo Civil</w:t>
      </w:r>
      <w:r>
        <w:rPr>
          <w:rFonts w:ascii="Times New Roman" w:hAnsi="Times New Roman" w:cs="Times New Roman"/>
          <w:iCs/>
          <w:sz w:val="24"/>
          <w:szCs w:val="24"/>
        </w:rPr>
        <w:t xml:space="preserve">, exige-se </w:t>
      </w:r>
      <w:r w:rsidRPr="008D5184">
        <w:rPr>
          <w:rFonts w:ascii="Times New Roman" w:hAnsi="Times New Roman" w:cs="Times New Roman"/>
          <w:iCs/>
          <w:sz w:val="24"/>
          <w:szCs w:val="24"/>
        </w:rPr>
        <w:t>conduta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D5184">
        <w:rPr>
          <w:rFonts w:ascii="Times New Roman" w:hAnsi="Times New Roman" w:cs="Times New Roman"/>
          <w:iCs/>
          <w:sz w:val="24"/>
          <w:szCs w:val="24"/>
        </w:rPr>
        <w:t xml:space="preserve">dolosa da parte em </w:t>
      </w:r>
      <w:r w:rsidR="009C15FA">
        <w:rPr>
          <w:rFonts w:ascii="Times New Roman" w:hAnsi="Times New Roman" w:cs="Times New Roman"/>
          <w:iCs/>
          <w:sz w:val="24"/>
          <w:szCs w:val="24"/>
        </w:rPr>
        <w:t>procrastinar injustificadamente o procedimento.</w:t>
      </w:r>
    </w:p>
    <w:p w14:paraId="228E5D1B" w14:textId="549901E6" w:rsidR="001A7907" w:rsidRPr="008D5184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184">
        <w:rPr>
          <w:rFonts w:ascii="Times New Roman" w:hAnsi="Times New Roman" w:cs="Times New Roman"/>
          <w:iCs/>
          <w:sz w:val="24"/>
          <w:szCs w:val="24"/>
        </w:rPr>
        <w:t>O exercício de legítimo direito à ampla defesa e</w:t>
      </w:r>
      <w:r>
        <w:rPr>
          <w:rFonts w:ascii="Times New Roman" w:hAnsi="Times New Roman" w:cs="Times New Roman"/>
          <w:iCs/>
          <w:sz w:val="24"/>
          <w:szCs w:val="24"/>
        </w:rPr>
        <w:t xml:space="preserve"> ao</w:t>
      </w:r>
      <w:r w:rsidRPr="008D5184">
        <w:rPr>
          <w:rFonts w:ascii="Times New Roman" w:hAnsi="Times New Roman" w:cs="Times New Roman"/>
          <w:iCs/>
          <w:sz w:val="24"/>
          <w:szCs w:val="24"/>
        </w:rPr>
        <w:t xml:space="preserve"> contraditório, constitucionalmente previstos, não </w:t>
      </w:r>
      <w:r>
        <w:rPr>
          <w:rFonts w:ascii="Times New Roman" w:hAnsi="Times New Roman" w:cs="Times New Roman"/>
          <w:iCs/>
          <w:sz w:val="24"/>
          <w:szCs w:val="24"/>
        </w:rPr>
        <w:t>se subsome a</w:t>
      </w:r>
      <w:r w:rsidRPr="008D5184">
        <w:rPr>
          <w:rFonts w:ascii="Times New Roman" w:hAnsi="Times New Roman" w:cs="Times New Roman"/>
          <w:iCs/>
          <w:sz w:val="24"/>
          <w:szCs w:val="24"/>
        </w:rPr>
        <w:t>o preceito primário da norma proibitiva.</w:t>
      </w:r>
    </w:p>
    <w:p w14:paraId="4A96886F" w14:textId="77777777" w:rsidR="001A7907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D518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0BFCE9F0" w14:textId="77777777" w:rsidR="001A7907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0A746FA" w14:textId="77777777" w:rsidR="001A7907" w:rsidRDefault="001A7907" w:rsidP="001A7907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8D5184">
        <w:rPr>
          <w:rFonts w:ascii="Times New Roman" w:hAnsi="Times New Roman" w:cs="Times New Roman"/>
          <w:iCs/>
          <w:sz w:val="20"/>
          <w:szCs w:val="24"/>
        </w:rPr>
        <w:t>CIVIL E PROCESSO CIVIL. AÇÃO DECLARATÓRIA DE INEXISTÊNCIA DE RELAÇÃO JURÍDICA E NULIDADE DE TÍTULOS DE CRÉDITO C/C COMPENSAÇÃO POR DANOS MORAIS. NE</w:t>
      </w:r>
      <w:r>
        <w:rPr>
          <w:rFonts w:ascii="Times New Roman" w:hAnsi="Times New Roman" w:cs="Times New Roman"/>
          <w:iCs/>
          <w:sz w:val="20"/>
          <w:szCs w:val="24"/>
        </w:rPr>
        <w:t>G</w:t>
      </w:r>
      <w:r w:rsidRPr="008D5184">
        <w:rPr>
          <w:rFonts w:ascii="Times New Roman" w:hAnsi="Times New Roman" w:cs="Times New Roman"/>
          <w:iCs/>
          <w:sz w:val="20"/>
          <w:szCs w:val="24"/>
        </w:rPr>
        <w:t xml:space="preserve">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8D5184">
        <w:rPr>
          <w:rFonts w:ascii="Times New Roman" w:hAnsi="Times New Roman" w:cs="Times New Roman"/>
          <w:iCs/>
          <w:sz w:val="20"/>
          <w:szCs w:val="24"/>
        </w:rPr>
        <w:t>LV</w:t>
      </w:r>
      <w:proofErr w:type="spellEnd"/>
      <w:r w:rsidRPr="008D5184">
        <w:rPr>
          <w:rFonts w:ascii="Times New Roman" w:hAnsi="Times New Roman" w:cs="Times New Roman"/>
          <w:iCs/>
          <w:sz w:val="20"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</w:t>
      </w:r>
      <w:r>
        <w:rPr>
          <w:rFonts w:ascii="Times New Roman" w:hAnsi="Times New Roman" w:cs="Times New Roman"/>
          <w:iCs/>
          <w:sz w:val="20"/>
          <w:szCs w:val="24"/>
        </w:rPr>
        <w:t xml:space="preserve">STJ. Terceira Turma. Relatora: Ministra Nancy Andrighi. </w:t>
      </w:r>
      <w:r w:rsidRPr="008D5184">
        <w:rPr>
          <w:rFonts w:ascii="Times New Roman" w:hAnsi="Times New Roman" w:cs="Times New Roman"/>
          <w:iCs/>
          <w:sz w:val="20"/>
          <w:szCs w:val="24"/>
        </w:rPr>
        <w:t>REsp n. 1.423.942/SP</w:t>
      </w:r>
      <w:r>
        <w:rPr>
          <w:rFonts w:ascii="Times New Roman" w:hAnsi="Times New Roman" w:cs="Times New Roman"/>
          <w:iCs/>
          <w:sz w:val="20"/>
          <w:szCs w:val="24"/>
        </w:rPr>
        <w:t>. Data de julgamento: 26-09-2017. Data de publicação: 29-09-2017).</w:t>
      </w:r>
    </w:p>
    <w:p w14:paraId="2C5A8D6F" w14:textId="77777777" w:rsidR="001A7907" w:rsidRPr="008D5184" w:rsidRDefault="001A7907" w:rsidP="001A7907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28F0A009" w14:textId="77777777" w:rsidR="001A7907" w:rsidRDefault="001A7907" w:rsidP="001A790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31E6DCB2" w14:textId="77777777" w:rsidR="00AC5279" w:rsidRDefault="00AC5279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8906A9" w14:textId="63E92E44" w:rsidR="00E71385" w:rsidRDefault="00972B9C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II.IV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– DA CONCLUSÃO</w:t>
      </w:r>
    </w:p>
    <w:p w14:paraId="4BD15769" w14:textId="7D16AF01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0D5FE8">
        <w:rPr>
          <w:rFonts w:ascii="Times New Roman" w:eastAsia="Times New Roman" w:hAnsi="Times New Roman" w:cs="Times New Roman"/>
          <w:sz w:val="24"/>
          <w:szCs w:val="24"/>
          <w:lang w:eastAsia="pt-BR"/>
        </w:rPr>
        <w:t>desprover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embargos</w:t>
      </w:r>
      <w:r w:rsidR="009C15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declaração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134511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15768E32" w14:textId="77777777" w:rsidR="003F76F3" w:rsidRDefault="003F76F3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6466FC0" w14:textId="59102F14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>
        <w:rPr>
          <w:rFonts w:ascii="Times New Roman" w:hAnsi="Times New Roman" w:cs="Times New Roman"/>
          <w:b/>
          <w:sz w:val="24"/>
          <w:szCs w:val="24"/>
        </w:rPr>
        <w:t>–</w:t>
      </w:r>
      <w:r w:rsidRPr="00260160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F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svaldo Canela Junior" w:date="2025-03-07T18:50:00Z" w:initials="OC">
    <w:p w14:paraId="6F1CC127" w14:textId="77777777" w:rsidR="00CB1889" w:rsidRDefault="009C15FA" w:rsidP="00CB1889">
      <w:pPr>
        <w:pStyle w:val="Textodecomentrio"/>
      </w:pPr>
      <w:r>
        <w:rPr>
          <w:rStyle w:val="Refdecomentrio"/>
        </w:rPr>
        <w:annotationRef/>
      </w:r>
      <w:r w:rsidR="00CB1889">
        <w:t>A hipótese do art. 1.026 não se confunde com litigância de má-fé.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F1CC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70B0950" w16cex:dateUtc="2025-03-07T2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F1CC127" w16cid:durableId="370B09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svaldo Canela Junior">
    <w15:presenceInfo w15:providerId="Windows Live" w15:userId="6281590652e563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0CBC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3A6D"/>
    <w:rsid w:val="00074A6B"/>
    <w:rsid w:val="000753E6"/>
    <w:rsid w:val="00075CD3"/>
    <w:rsid w:val="000771EB"/>
    <w:rsid w:val="00082633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5FE8"/>
    <w:rsid w:val="000D62A2"/>
    <w:rsid w:val="000E2F5C"/>
    <w:rsid w:val="000E3D0A"/>
    <w:rsid w:val="000E6E40"/>
    <w:rsid w:val="000F1C40"/>
    <w:rsid w:val="000F2C6A"/>
    <w:rsid w:val="00101E92"/>
    <w:rsid w:val="001023A4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07"/>
    <w:rsid w:val="001B55D7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084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A43F7"/>
    <w:rsid w:val="003B44F2"/>
    <w:rsid w:val="003B513B"/>
    <w:rsid w:val="003C7E9F"/>
    <w:rsid w:val="003E0B11"/>
    <w:rsid w:val="003F517F"/>
    <w:rsid w:val="003F76F3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3657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52E1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D6755"/>
    <w:rsid w:val="006E0A2B"/>
    <w:rsid w:val="006E2A57"/>
    <w:rsid w:val="006F0765"/>
    <w:rsid w:val="006F2E12"/>
    <w:rsid w:val="006F506E"/>
    <w:rsid w:val="006F602A"/>
    <w:rsid w:val="007028A3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72B9C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5FA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35175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C5279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731"/>
    <w:rsid w:val="00C31E33"/>
    <w:rsid w:val="00C3291B"/>
    <w:rsid w:val="00C3476D"/>
    <w:rsid w:val="00C41024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1889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02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2172"/>
    <w:rsid w:val="00ED366A"/>
    <w:rsid w:val="00ED3EC0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179EC"/>
    <w:rsid w:val="00F205BE"/>
    <w:rsid w:val="00F2142B"/>
    <w:rsid w:val="00F21F1A"/>
    <w:rsid w:val="00F231A4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33D7"/>
    <w:rsid w:val="00F94657"/>
    <w:rsid w:val="00FA110F"/>
    <w:rsid w:val="00FB1209"/>
    <w:rsid w:val="00FB27C5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9C15F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C15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15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15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15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15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91D311-BB5C-46D8-9361-D208F0D8987C}"/>
</file>

<file path=customXml/itemProps3.xml><?xml version="1.0" encoding="utf-8"?>
<ds:datastoreItem xmlns:ds="http://schemas.openxmlformats.org/officeDocument/2006/customXml" ds:itemID="{0B70B725-50F8-42CE-9D39-60BD56E73CE9}"/>
</file>

<file path=customXml/itemProps4.xml><?xml version="1.0" encoding="utf-8"?>
<ds:datastoreItem xmlns:ds="http://schemas.openxmlformats.org/officeDocument/2006/customXml" ds:itemID="{FCB02519-8063-4CF1-AF54-EBC57F7689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1544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28</cp:revision>
  <cp:lastPrinted>2023-02-01T16:46:00Z</cp:lastPrinted>
  <dcterms:created xsi:type="dcterms:W3CDTF">2023-06-15T19:39:00Z</dcterms:created>
  <dcterms:modified xsi:type="dcterms:W3CDTF">2025-03-10T16:36:00Z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311600</vt:r8>
  </property>
</Properties>
</file>