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57392" w14:textId="5416AAF3" w:rsidR="009B0701" w:rsidRDefault="009B0701" w:rsidP="000E6E40">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DECISÃO MONOCRÁTICA. PROCESSUAL CIVIL. EMBARGOS DE DECLARAÇÃO. AGRAVO DE INSTRUMENTO. OMISSÃO. MERO INCONFORMISMO. EFEITO ATIVO.</w:t>
      </w:r>
    </w:p>
    <w:p w14:paraId="52C9D9D7" w14:textId="77777777" w:rsidR="000E6E40" w:rsidRPr="009B0701"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I. CASO EM EXAME</w:t>
      </w:r>
    </w:p>
    <w:p w14:paraId="14C72386" w14:textId="7ACAEC5A" w:rsidR="009B0701"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 xml:space="preserve">Embargos de declaração </w:t>
      </w:r>
      <w:r w:rsidR="008205C3" w:rsidRPr="009B0701">
        <w:rPr>
          <w:rFonts w:ascii="Times New Roman" w:eastAsia="Times New Roman" w:hAnsi="Times New Roman" w:cs="Times New Roman"/>
          <w:b/>
          <w:sz w:val="24"/>
          <w:szCs w:val="24"/>
          <w:lang w:eastAsia="pt-BR"/>
        </w:rPr>
        <w:t>interpostos</w:t>
      </w:r>
      <w:r w:rsidR="00073A6D" w:rsidRPr="009B0701">
        <w:rPr>
          <w:rFonts w:ascii="Times New Roman" w:eastAsia="Times New Roman" w:hAnsi="Times New Roman" w:cs="Times New Roman"/>
          <w:b/>
          <w:sz w:val="24"/>
          <w:szCs w:val="24"/>
          <w:lang w:eastAsia="pt-BR"/>
        </w:rPr>
        <w:t xml:space="preserve"> contra </w:t>
      </w:r>
      <w:r w:rsidR="009B0701">
        <w:rPr>
          <w:rFonts w:ascii="Times New Roman" w:eastAsia="Times New Roman" w:hAnsi="Times New Roman" w:cs="Times New Roman"/>
          <w:b/>
          <w:sz w:val="24"/>
          <w:szCs w:val="24"/>
          <w:lang w:eastAsia="pt-BR"/>
        </w:rPr>
        <w:t>decisão monocrática negativa de efeito recursal ativo, constituída sob a premissa de ausência de preenchimento dos requisitos do artigo 300 do Código de Processo Civil.</w:t>
      </w:r>
    </w:p>
    <w:p w14:paraId="17482947" w14:textId="4B15D15B" w:rsidR="000E6E40" w:rsidRPr="009B0701"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II. QUEST</w:t>
      </w:r>
      <w:r w:rsidR="001A7907" w:rsidRPr="009B0701">
        <w:rPr>
          <w:rFonts w:ascii="Times New Roman" w:eastAsia="Times New Roman" w:hAnsi="Times New Roman" w:cs="Times New Roman"/>
          <w:b/>
          <w:sz w:val="24"/>
          <w:szCs w:val="24"/>
          <w:lang w:eastAsia="pt-BR"/>
        </w:rPr>
        <w:t xml:space="preserve">ÕES </w:t>
      </w:r>
      <w:r w:rsidRPr="009B0701">
        <w:rPr>
          <w:rFonts w:ascii="Times New Roman" w:eastAsia="Times New Roman" w:hAnsi="Times New Roman" w:cs="Times New Roman"/>
          <w:b/>
          <w:sz w:val="24"/>
          <w:szCs w:val="24"/>
          <w:lang w:eastAsia="pt-BR"/>
        </w:rPr>
        <w:t>EM DISCUSSÃO</w:t>
      </w:r>
    </w:p>
    <w:p w14:paraId="69FD94B2" w14:textId="54DD0AD6" w:rsidR="009B0701" w:rsidRDefault="00073A6D" w:rsidP="009B0701">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 xml:space="preserve">II.I. </w:t>
      </w:r>
      <w:r w:rsidR="009B0701">
        <w:rPr>
          <w:rFonts w:ascii="Times New Roman" w:eastAsia="Times New Roman" w:hAnsi="Times New Roman" w:cs="Times New Roman"/>
          <w:b/>
          <w:sz w:val="24"/>
          <w:szCs w:val="24"/>
          <w:lang w:eastAsia="pt-BR"/>
        </w:rPr>
        <w:t>Configuração de omissão decorrente de ausência de análise de pedidos de suspensão dos efeitos de negócio jurídico e de designação de audiência de justificação.</w:t>
      </w:r>
    </w:p>
    <w:p w14:paraId="6DE377AF" w14:textId="0DD85EAF" w:rsidR="009B0701" w:rsidRDefault="009B0701" w:rsidP="009B0701">
      <w:pPr>
        <w:spacing w:before="240" w:after="24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II.II. </w:t>
      </w:r>
      <w:r w:rsidR="002C305E">
        <w:rPr>
          <w:rFonts w:ascii="Times New Roman" w:eastAsia="Times New Roman" w:hAnsi="Times New Roman" w:cs="Times New Roman"/>
          <w:b/>
          <w:sz w:val="24"/>
          <w:szCs w:val="24"/>
          <w:lang w:eastAsia="pt-BR"/>
        </w:rPr>
        <w:t>Hipótese de equívoco</w:t>
      </w:r>
      <w:r>
        <w:rPr>
          <w:rFonts w:ascii="Times New Roman" w:eastAsia="Times New Roman" w:hAnsi="Times New Roman" w:cs="Times New Roman"/>
          <w:b/>
          <w:sz w:val="24"/>
          <w:szCs w:val="24"/>
          <w:lang w:eastAsia="pt-BR"/>
        </w:rPr>
        <w:t xml:space="preserve"> na análise do requisito do perigo da demora.</w:t>
      </w:r>
    </w:p>
    <w:p w14:paraId="12850568" w14:textId="2E0DFF08" w:rsidR="000E6E40" w:rsidRPr="009B0701" w:rsidRDefault="000E6E40" w:rsidP="009B0701">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III. RAZÕES DE DECIDIR</w:t>
      </w:r>
    </w:p>
    <w:p w14:paraId="2531FB2A" w14:textId="52DABBDE" w:rsidR="000E6E40" w:rsidRPr="009B0701" w:rsidRDefault="00073A6D" w:rsidP="000E6E40">
      <w:pPr>
        <w:spacing w:before="240" w:after="240" w:line="360" w:lineRule="auto"/>
        <w:jc w:val="both"/>
        <w:rPr>
          <w:rFonts w:ascii="Times New Roman" w:eastAsia="Times New Roman" w:hAnsi="Times New Roman" w:cs="Times New Roman"/>
          <w:b/>
          <w:sz w:val="24"/>
          <w:szCs w:val="24"/>
          <w:lang w:eastAsia="pt-BR"/>
        </w:rPr>
      </w:pPr>
      <w:proofErr w:type="spellStart"/>
      <w:r w:rsidRPr="009B0701">
        <w:rPr>
          <w:rFonts w:ascii="Times New Roman" w:eastAsia="Times New Roman" w:hAnsi="Times New Roman" w:cs="Times New Roman"/>
          <w:b/>
          <w:sz w:val="24"/>
          <w:szCs w:val="24"/>
          <w:lang w:eastAsia="pt-BR"/>
        </w:rPr>
        <w:t>III.I</w:t>
      </w:r>
      <w:proofErr w:type="spellEnd"/>
      <w:r w:rsidRPr="009B0701">
        <w:rPr>
          <w:rFonts w:ascii="Times New Roman" w:eastAsia="Times New Roman" w:hAnsi="Times New Roman" w:cs="Times New Roman"/>
          <w:b/>
          <w:sz w:val="24"/>
          <w:szCs w:val="24"/>
          <w:lang w:eastAsia="pt-BR"/>
        </w:rPr>
        <w:t xml:space="preserve">. </w:t>
      </w:r>
      <w:r w:rsidR="000E6E40" w:rsidRPr="009B0701">
        <w:rPr>
          <w:rFonts w:ascii="Times New Roman" w:eastAsia="Times New Roman" w:hAnsi="Times New Roman" w:cs="Times New Roman"/>
          <w:b/>
          <w:sz w:val="24"/>
          <w:szCs w:val="24"/>
          <w:lang w:eastAsia="pt-BR"/>
        </w:rPr>
        <w:t xml:space="preserve">Os embargos de declaração </w:t>
      </w:r>
      <w:r w:rsidR="009C15FA" w:rsidRPr="009B0701">
        <w:rPr>
          <w:rFonts w:ascii="Times New Roman" w:eastAsia="Times New Roman" w:hAnsi="Times New Roman" w:cs="Times New Roman"/>
          <w:b/>
          <w:sz w:val="24"/>
          <w:szCs w:val="24"/>
          <w:lang w:eastAsia="pt-BR"/>
        </w:rPr>
        <w:t>prestam-se a</w:t>
      </w:r>
      <w:r w:rsidR="000E6E40" w:rsidRPr="009B0701">
        <w:rPr>
          <w:rFonts w:ascii="Times New Roman" w:eastAsia="Times New Roman" w:hAnsi="Times New Roman" w:cs="Times New Roman"/>
          <w:b/>
          <w:sz w:val="24"/>
          <w:szCs w:val="24"/>
          <w:lang w:eastAsia="pt-BR"/>
        </w:rPr>
        <w:t xml:space="preserve"> esclarecer obscuridade, eliminar contradição, suprir omissão ou corrigir erro material, sendo defesa sua utilização como sucedâneo recursal para manifestação de mero inconformismo.</w:t>
      </w:r>
    </w:p>
    <w:p w14:paraId="1A45706D" w14:textId="6CCB5DB9" w:rsidR="009B0701" w:rsidRDefault="00073A6D" w:rsidP="001A7907">
      <w:pPr>
        <w:spacing w:before="240" w:after="240" w:line="360" w:lineRule="auto"/>
        <w:jc w:val="both"/>
        <w:rPr>
          <w:rFonts w:ascii="Times New Roman" w:eastAsia="Times New Roman" w:hAnsi="Times New Roman" w:cs="Times New Roman"/>
          <w:b/>
          <w:sz w:val="24"/>
          <w:szCs w:val="24"/>
          <w:lang w:eastAsia="pt-BR"/>
        </w:rPr>
      </w:pPr>
      <w:proofErr w:type="spellStart"/>
      <w:r w:rsidRPr="009B0701">
        <w:rPr>
          <w:rFonts w:ascii="Times New Roman" w:eastAsia="Times New Roman" w:hAnsi="Times New Roman" w:cs="Times New Roman"/>
          <w:b/>
          <w:sz w:val="24"/>
          <w:szCs w:val="24"/>
          <w:lang w:eastAsia="pt-BR"/>
        </w:rPr>
        <w:t>III.II</w:t>
      </w:r>
      <w:proofErr w:type="spellEnd"/>
      <w:r w:rsidRPr="009B0701">
        <w:rPr>
          <w:rFonts w:ascii="Times New Roman" w:eastAsia="Times New Roman" w:hAnsi="Times New Roman" w:cs="Times New Roman"/>
          <w:b/>
          <w:sz w:val="24"/>
          <w:szCs w:val="24"/>
          <w:lang w:eastAsia="pt-BR"/>
        </w:rPr>
        <w:t xml:space="preserve">. </w:t>
      </w:r>
      <w:r w:rsidR="001A7907" w:rsidRPr="009B0701">
        <w:rPr>
          <w:rFonts w:ascii="Times New Roman" w:eastAsia="Times New Roman" w:hAnsi="Times New Roman" w:cs="Times New Roman"/>
          <w:b/>
          <w:sz w:val="24"/>
          <w:szCs w:val="24"/>
          <w:lang w:eastAsia="pt-BR"/>
        </w:rPr>
        <w:t>A</w:t>
      </w:r>
      <w:r w:rsidR="009B0701">
        <w:rPr>
          <w:rFonts w:ascii="Times New Roman" w:eastAsia="Times New Roman" w:hAnsi="Times New Roman" w:cs="Times New Roman"/>
          <w:b/>
          <w:sz w:val="24"/>
          <w:szCs w:val="24"/>
          <w:lang w:eastAsia="pt-BR"/>
        </w:rPr>
        <w:t xml:space="preserve"> ausência de pronunciamento específico sobre pedido deduzido pela parte configura omissão, sanável pela via dos embargos de declaração.</w:t>
      </w:r>
    </w:p>
    <w:p w14:paraId="097D2F16" w14:textId="77777777" w:rsidR="000E6E40" w:rsidRPr="009B0701"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IV. SOLUÇÃO DO CASO</w:t>
      </w:r>
    </w:p>
    <w:p w14:paraId="228414A5" w14:textId="2E94CF13" w:rsidR="000E6E40" w:rsidRPr="009B0701"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 xml:space="preserve">Recurso conhecido e </w:t>
      </w:r>
      <w:r w:rsidR="00514DCC" w:rsidRPr="009B0701">
        <w:rPr>
          <w:rFonts w:ascii="Times New Roman" w:eastAsia="Times New Roman" w:hAnsi="Times New Roman" w:cs="Times New Roman"/>
          <w:b/>
          <w:sz w:val="24"/>
          <w:szCs w:val="24"/>
          <w:lang w:eastAsia="pt-BR"/>
        </w:rPr>
        <w:t>parcialmente provido</w:t>
      </w:r>
      <w:r w:rsidRPr="009B0701">
        <w:rPr>
          <w:rFonts w:ascii="Times New Roman" w:eastAsia="Times New Roman" w:hAnsi="Times New Roman" w:cs="Times New Roman"/>
          <w:b/>
          <w:sz w:val="24"/>
          <w:szCs w:val="24"/>
          <w:lang w:eastAsia="pt-BR"/>
        </w:rPr>
        <w:t>.</w:t>
      </w:r>
    </w:p>
    <w:p w14:paraId="4018B384" w14:textId="77777777" w:rsidR="000E6E40" w:rsidRPr="00514DCC" w:rsidRDefault="000E6E40" w:rsidP="000E6E40">
      <w:pPr>
        <w:spacing w:before="240" w:after="240" w:line="360" w:lineRule="auto"/>
        <w:jc w:val="both"/>
        <w:rPr>
          <w:rFonts w:ascii="Times New Roman" w:eastAsia="Times New Roman" w:hAnsi="Times New Roman" w:cs="Times New Roman"/>
          <w:b/>
          <w:sz w:val="24"/>
          <w:szCs w:val="24"/>
          <w:lang w:eastAsia="pt-BR"/>
        </w:rPr>
      </w:pPr>
      <w:r w:rsidRPr="009B0701">
        <w:rPr>
          <w:rFonts w:ascii="Times New Roman" w:eastAsia="Times New Roman" w:hAnsi="Times New Roman" w:cs="Times New Roman"/>
          <w:b/>
          <w:sz w:val="24"/>
          <w:szCs w:val="24"/>
          <w:lang w:eastAsia="pt-BR"/>
        </w:rPr>
        <w:t>V. JURISPRUDÊNCIA E LEGISLAÇÃO UTILIZADAS</w:t>
      </w:r>
    </w:p>
    <w:p w14:paraId="2D457791" w14:textId="5DFD4A77" w:rsidR="001A7907" w:rsidRPr="00514DCC" w:rsidRDefault="001A7907" w:rsidP="000E6E40">
      <w:pPr>
        <w:spacing w:before="240" w:after="240" w:line="360" w:lineRule="auto"/>
        <w:jc w:val="both"/>
        <w:rPr>
          <w:rFonts w:ascii="Times New Roman" w:eastAsia="Times New Roman" w:hAnsi="Times New Roman" w:cs="Times New Roman"/>
          <w:b/>
          <w:sz w:val="24"/>
          <w:szCs w:val="24"/>
          <w:lang w:eastAsia="pt-BR"/>
        </w:rPr>
      </w:pPr>
      <w:r w:rsidRPr="00514DCC">
        <w:rPr>
          <w:rFonts w:ascii="Times New Roman" w:eastAsia="Times New Roman" w:hAnsi="Times New Roman" w:cs="Times New Roman"/>
          <w:b/>
          <w:sz w:val="24"/>
          <w:szCs w:val="24"/>
          <w:lang w:eastAsia="pt-BR"/>
        </w:rPr>
        <w:t xml:space="preserve">V.I. </w:t>
      </w:r>
      <w:r w:rsidR="000E6E40" w:rsidRPr="00514DCC">
        <w:rPr>
          <w:rFonts w:ascii="Times New Roman" w:eastAsia="Times New Roman" w:hAnsi="Times New Roman" w:cs="Times New Roman"/>
          <w:b/>
          <w:sz w:val="24"/>
          <w:szCs w:val="24"/>
          <w:lang w:eastAsia="pt-BR"/>
        </w:rPr>
        <w:t>Jurisprudência:</w:t>
      </w:r>
    </w:p>
    <w:p w14:paraId="5777979F" w14:textId="730E0516" w:rsidR="00514DCC" w:rsidRPr="00514DCC" w:rsidRDefault="00514DCC" w:rsidP="000E6E40">
      <w:pPr>
        <w:spacing w:before="240" w:after="240" w:line="360" w:lineRule="auto"/>
        <w:jc w:val="both"/>
        <w:rPr>
          <w:rFonts w:ascii="Times New Roman" w:eastAsia="Times New Roman" w:hAnsi="Times New Roman" w:cs="Times New Roman"/>
          <w:b/>
          <w:sz w:val="24"/>
          <w:szCs w:val="24"/>
          <w:lang w:eastAsia="pt-BR"/>
        </w:rPr>
      </w:pPr>
      <w:r w:rsidRPr="00514DCC">
        <w:rPr>
          <w:rFonts w:ascii="Times New Roman" w:eastAsia="Times New Roman" w:hAnsi="Times New Roman" w:cs="Times New Roman"/>
          <w:b/>
          <w:sz w:val="24"/>
          <w:szCs w:val="24"/>
          <w:lang w:eastAsia="pt-BR"/>
        </w:rPr>
        <w:t xml:space="preserve">STJ. Terceira Turma. Relator: Ministro Humberto Martins. EDcl no </w:t>
      </w:r>
      <w:proofErr w:type="spellStart"/>
      <w:r w:rsidRPr="00514DCC">
        <w:rPr>
          <w:rFonts w:ascii="Times New Roman" w:eastAsia="Times New Roman" w:hAnsi="Times New Roman" w:cs="Times New Roman"/>
          <w:b/>
          <w:sz w:val="24"/>
          <w:szCs w:val="24"/>
          <w:lang w:eastAsia="pt-BR"/>
        </w:rPr>
        <w:t>AgInt</w:t>
      </w:r>
      <w:proofErr w:type="spellEnd"/>
      <w:r w:rsidRPr="00514DCC">
        <w:rPr>
          <w:rFonts w:ascii="Times New Roman" w:eastAsia="Times New Roman" w:hAnsi="Times New Roman" w:cs="Times New Roman"/>
          <w:b/>
          <w:sz w:val="24"/>
          <w:szCs w:val="24"/>
          <w:lang w:eastAsia="pt-BR"/>
        </w:rPr>
        <w:t xml:space="preserve"> no </w:t>
      </w:r>
      <w:proofErr w:type="spellStart"/>
      <w:r w:rsidRPr="00514DCC">
        <w:rPr>
          <w:rFonts w:ascii="Times New Roman" w:eastAsia="Times New Roman" w:hAnsi="Times New Roman" w:cs="Times New Roman"/>
          <w:b/>
          <w:sz w:val="24"/>
          <w:szCs w:val="24"/>
          <w:lang w:eastAsia="pt-BR"/>
        </w:rPr>
        <w:t>AREsp</w:t>
      </w:r>
      <w:proofErr w:type="spellEnd"/>
      <w:r w:rsidRPr="00514DCC">
        <w:rPr>
          <w:rFonts w:ascii="Times New Roman" w:eastAsia="Times New Roman" w:hAnsi="Times New Roman" w:cs="Times New Roman"/>
          <w:b/>
          <w:sz w:val="24"/>
          <w:szCs w:val="24"/>
          <w:lang w:eastAsia="pt-BR"/>
        </w:rPr>
        <w:t xml:space="preserve"> n. 2.662.609/CE. Data de julgamento: 09-12-2024. Data de publicação: 12-12-2024;</w:t>
      </w:r>
    </w:p>
    <w:p w14:paraId="0AD59E7D" w14:textId="08366045" w:rsidR="00514DCC" w:rsidRPr="00514DCC" w:rsidRDefault="00514DCC" w:rsidP="000E6E40">
      <w:pPr>
        <w:spacing w:before="240" w:after="240" w:line="360" w:lineRule="auto"/>
        <w:jc w:val="both"/>
        <w:rPr>
          <w:rFonts w:ascii="Times New Roman" w:eastAsia="Times New Roman" w:hAnsi="Times New Roman" w:cs="Times New Roman"/>
          <w:b/>
          <w:sz w:val="24"/>
          <w:szCs w:val="24"/>
          <w:lang w:eastAsia="pt-BR"/>
        </w:rPr>
      </w:pPr>
      <w:r w:rsidRPr="00514DCC">
        <w:rPr>
          <w:rFonts w:ascii="Times New Roman" w:hAnsi="Times New Roman" w:cs="Times New Roman"/>
          <w:b/>
          <w:sz w:val="24"/>
          <w:szCs w:val="24"/>
        </w:rPr>
        <w:t xml:space="preserve">STJ. 1ª Seção. Relator: Ministro Mauro Campbell Marques. EDcl. no AgRg. nos </w:t>
      </w:r>
      <w:proofErr w:type="spellStart"/>
      <w:r w:rsidRPr="00514DCC">
        <w:rPr>
          <w:rFonts w:ascii="Times New Roman" w:hAnsi="Times New Roman" w:cs="Times New Roman"/>
          <w:b/>
          <w:sz w:val="24"/>
          <w:szCs w:val="24"/>
        </w:rPr>
        <w:t>EAREsp</w:t>
      </w:r>
      <w:proofErr w:type="spellEnd"/>
      <w:r w:rsidRPr="00514DCC">
        <w:rPr>
          <w:rFonts w:ascii="Times New Roman" w:hAnsi="Times New Roman" w:cs="Times New Roman"/>
          <w:b/>
          <w:sz w:val="24"/>
          <w:szCs w:val="24"/>
        </w:rPr>
        <w:t>. n. 620.940/RS. Data de Julgamento: 14-09-2016. Data de Publicação: 21-09-2016.</w:t>
      </w:r>
    </w:p>
    <w:p w14:paraId="5FFB9405" w14:textId="2200915F" w:rsidR="001A7907" w:rsidRPr="00514DCC" w:rsidRDefault="001A7907" w:rsidP="000E6E40">
      <w:pPr>
        <w:spacing w:before="240" w:after="240" w:line="360" w:lineRule="auto"/>
        <w:jc w:val="both"/>
        <w:rPr>
          <w:rFonts w:ascii="Times New Roman" w:eastAsia="Times New Roman" w:hAnsi="Times New Roman" w:cs="Times New Roman"/>
          <w:b/>
          <w:sz w:val="24"/>
          <w:szCs w:val="24"/>
          <w:lang w:eastAsia="pt-BR"/>
        </w:rPr>
      </w:pPr>
      <w:proofErr w:type="spellStart"/>
      <w:r w:rsidRPr="00514DCC">
        <w:rPr>
          <w:rFonts w:ascii="Times New Roman" w:eastAsia="Times New Roman" w:hAnsi="Times New Roman" w:cs="Times New Roman"/>
          <w:b/>
          <w:sz w:val="24"/>
          <w:szCs w:val="24"/>
          <w:lang w:eastAsia="pt-BR"/>
        </w:rPr>
        <w:t>V.II</w:t>
      </w:r>
      <w:proofErr w:type="spellEnd"/>
      <w:r w:rsidRPr="00514DCC">
        <w:rPr>
          <w:rFonts w:ascii="Times New Roman" w:eastAsia="Times New Roman" w:hAnsi="Times New Roman" w:cs="Times New Roman"/>
          <w:b/>
          <w:sz w:val="24"/>
          <w:szCs w:val="24"/>
          <w:lang w:eastAsia="pt-BR"/>
        </w:rPr>
        <w:t xml:space="preserve">. </w:t>
      </w:r>
      <w:r w:rsidR="000E6E40" w:rsidRPr="00514DCC">
        <w:rPr>
          <w:rFonts w:ascii="Times New Roman" w:eastAsia="Times New Roman" w:hAnsi="Times New Roman" w:cs="Times New Roman"/>
          <w:b/>
          <w:sz w:val="24"/>
          <w:szCs w:val="24"/>
          <w:lang w:eastAsia="pt-BR"/>
        </w:rPr>
        <w:t>Legislação:</w:t>
      </w:r>
    </w:p>
    <w:p w14:paraId="69BC6DD2" w14:textId="5AD6C1D6" w:rsidR="000E6E40" w:rsidRPr="00514DCC" w:rsidRDefault="001A7907" w:rsidP="000E6E40">
      <w:pPr>
        <w:spacing w:before="240" w:after="240" w:line="360" w:lineRule="auto"/>
        <w:jc w:val="both"/>
        <w:rPr>
          <w:rFonts w:ascii="Times New Roman" w:eastAsia="Times New Roman" w:hAnsi="Times New Roman" w:cs="Times New Roman"/>
          <w:b/>
          <w:sz w:val="24"/>
          <w:szCs w:val="24"/>
          <w:lang w:eastAsia="pt-BR"/>
        </w:rPr>
      </w:pPr>
      <w:r w:rsidRPr="00514DCC">
        <w:rPr>
          <w:rFonts w:ascii="Times New Roman" w:eastAsia="Times New Roman" w:hAnsi="Times New Roman" w:cs="Times New Roman"/>
          <w:b/>
          <w:sz w:val="24"/>
          <w:szCs w:val="24"/>
          <w:lang w:eastAsia="pt-BR"/>
        </w:rPr>
        <w:t>Código de Processo Civil: art. 1.022.</w:t>
      </w:r>
    </w:p>
    <w:p w14:paraId="36436BB3" w14:textId="7F49C01A" w:rsidR="001A7907" w:rsidRPr="00514DCC" w:rsidRDefault="001A7907" w:rsidP="000E6E40">
      <w:pPr>
        <w:spacing w:before="240" w:after="240" w:line="360" w:lineRule="auto"/>
        <w:jc w:val="both"/>
        <w:rPr>
          <w:rFonts w:ascii="Times New Roman" w:eastAsia="Times New Roman" w:hAnsi="Times New Roman" w:cs="Times New Roman"/>
          <w:b/>
          <w:sz w:val="24"/>
          <w:szCs w:val="24"/>
          <w:lang w:eastAsia="pt-BR"/>
        </w:rPr>
      </w:pPr>
      <w:r w:rsidRPr="00514DCC">
        <w:rPr>
          <w:rFonts w:ascii="Times New Roman" w:eastAsia="Times New Roman" w:hAnsi="Times New Roman" w:cs="Times New Roman"/>
          <w:b/>
          <w:sz w:val="24"/>
          <w:szCs w:val="24"/>
          <w:lang w:eastAsia="pt-BR"/>
        </w:rPr>
        <w:t xml:space="preserve">Regimento Interno do Tribunal de Justiça do Estado do Paraná: </w:t>
      </w:r>
      <w:r w:rsidR="00514DCC" w:rsidRPr="00514DCC">
        <w:rPr>
          <w:rFonts w:ascii="Times New Roman" w:eastAsia="Times New Roman" w:hAnsi="Times New Roman" w:cs="Times New Roman"/>
          <w:b/>
          <w:sz w:val="24"/>
          <w:szCs w:val="24"/>
          <w:lang w:eastAsia="pt-BR"/>
        </w:rPr>
        <w:t xml:space="preserve">art. 182, inciso </w:t>
      </w:r>
      <w:proofErr w:type="spellStart"/>
      <w:r w:rsidR="00514DCC" w:rsidRPr="00514DCC">
        <w:rPr>
          <w:rFonts w:ascii="Times New Roman" w:eastAsia="Times New Roman" w:hAnsi="Times New Roman" w:cs="Times New Roman"/>
          <w:b/>
          <w:sz w:val="24"/>
          <w:szCs w:val="24"/>
          <w:lang w:eastAsia="pt-BR"/>
        </w:rPr>
        <w:t>XXXIX</w:t>
      </w:r>
      <w:proofErr w:type="spellEnd"/>
      <w:r w:rsidR="00514DCC" w:rsidRPr="00514DCC">
        <w:rPr>
          <w:rFonts w:ascii="Times New Roman" w:eastAsia="Times New Roman" w:hAnsi="Times New Roman" w:cs="Times New Roman"/>
          <w:b/>
          <w:sz w:val="24"/>
          <w:szCs w:val="24"/>
          <w:lang w:eastAsia="pt-BR"/>
        </w:rPr>
        <w:t>.</w:t>
      </w:r>
    </w:p>
    <w:p w14:paraId="1624D6D3" w14:textId="77777777" w:rsidR="003B44F2" w:rsidRPr="00B400E7" w:rsidRDefault="003B44F2" w:rsidP="004E1BC4">
      <w:pPr>
        <w:spacing w:before="240" w:after="240" w:line="360" w:lineRule="auto"/>
        <w:jc w:val="both"/>
        <w:rPr>
          <w:rFonts w:ascii="Times New Roman" w:eastAsia="Times New Roman" w:hAnsi="Times New Roman" w:cs="Times New Roman"/>
          <w:b/>
          <w:sz w:val="24"/>
          <w:szCs w:val="24"/>
          <w:lang w:eastAsia="pt-BR"/>
        </w:rPr>
      </w:pPr>
    </w:p>
    <w:p w14:paraId="241249C2" w14:textId="77777777" w:rsidR="00FB27C5" w:rsidRDefault="00D74F23" w:rsidP="00FB27C5">
      <w:pPr>
        <w:spacing w:before="240" w:after="240" w:line="360" w:lineRule="auto"/>
        <w:ind w:firstLine="709"/>
        <w:jc w:val="both"/>
        <w:rPr>
          <w:rFonts w:ascii="Times New Roman" w:eastAsia="Times New Roman" w:hAnsi="Times New Roman" w:cs="Times New Roman"/>
          <w:b/>
          <w:sz w:val="24"/>
          <w:szCs w:val="24"/>
          <w:lang w:eastAsia="pt-BR"/>
        </w:rPr>
      </w:pPr>
      <w:r w:rsidRPr="00B400E7">
        <w:rPr>
          <w:rFonts w:ascii="Times New Roman" w:eastAsia="Times New Roman" w:hAnsi="Times New Roman" w:cs="Times New Roman"/>
          <w:b/>
          <w:sz w:val="24"/>
          <w:szCs w:val="24"/>
          <w:lang w:eastAsia="pt-BR"/>
        </w:rPr>
        <w:t>I – RELATÓRIO</w:t>
      </w:r>
    </w:p>
    <w:p w14:paraId="65E4B8B1" w14:textId="68F8F17B" w:rsidR="00FC6F5C" w:rsidRDefault="003F76F3" w:rsidP="00FB27C5">
      <w:pPr>
        <w:spacing w:before="240" w:after="240" w:line="360" w:lineRule="auto"/>
        <w:ind w:firstLine="709"/>
        <w:jc w:val="both"/>
        <w:rPr>
          <w:rFonts w:ascii="Times New Roman" w:eastAsia="Times New Roman" w:hAnsi="Times New Roman" w:cs="Times New Roman"/>
          <w:bCs/>
          <w:sz w:val="24"/>
          <w:szCs w:val="24"/>
          <w:lang w:eastAsia="pt-BR"/>
        </w:rPr>
      </w:pPr>
      <w:r w:rsidRPr="003F76F3">
        <w:rPr>
          <w:rFonts w:ascii="Times New Roman" w:eastAsia="Times New Roman" w:hAnsi="Times New Roman" w:cs="Times New Roman"/>
          <w:bCs/>
          <w:sz w:val="24"/>
          <w:szCs w:val="24"/>
          <w:lang w:eastAsia="pt-BR"/>
        </w:rPr>
        <w:t>Cuida</w:t>
      </w:r>
      <w:r>
        <w:rPr>
          <w:rFonts w:ascii="Times New Roman" w:eastAsia="Times New Roman" w:hAnsi="Times New Roman" w:cs="Times New Roman"/>
          <w:bCs/>
          <w:sz w:val="24"/>
          <w:szCs w:val="24"/>
          <w:lang w:eastAsia="pt-BR"/>
        </w:rPr>
        <w:t xml:space="preserve">-se de embargos de declaração </w:t>
      </w:r>
      <w:r w:rsidR="00F179EC">
        <w:rPr>
          <w:rFonts w:ascii="Times New Roman" w:eastAsia="Times New Roman" w:hAnsi="Times New Roman" w:cs="Times New Roman"/>
          <w:bCs/>
          <w:sz w:val="24"/>
          <w:szCs w:val="24"/>
          <w:lang w:eastAsia="pt-BR"/>
        </w:rPr>
        <w:t>interpostos</w:t>
      </w:r>
      <w:r w:rsidR="00536572">
        <w:rPr>
          <w:rFonts w:ascii="Times New Roman" w:eastAsia="Times New Roman" w:hAnsi="Times New Roman" w:cs="Times New Roman"/>
          <w:bCs/>
          <w:sz w:val="24"/>
          <w:szCs w:val="24"/>
          <w:lang w:eastAsia="pt-BR"/>
        </w:rPr>
        <w:t xml:space="preserve"> por </w:t>
      </w:r>
      <w:r w:rsidR="00FC6F5C">
        <w:rPr>
          <w:rFonts w:ascii="Times New Roman" w:eastAsia="Times New Roman" w:hAnsi="Times New Roman" w:cs="Times New Roman"/>
          <w:bCs/>
          <w:sz w:val="24"/>
          <w:szCs w:val="24"/>
          <w:lang w:eastAsia="pt-BR"/>
        </w:rPr>
        <w:t xml:space="preserve">Luiz Fernando Nadal Junior e Rafaela em face de Luiz Fernando Nadal e Roberto Ari de Castro </w:t>
      </w:r>
      <w:proofErr w:type="spellStart"/>
      <w:r w:rsidR="00FC6F5C">
        <w:rPr>
          <w:rFonts w:ascii="Times New Roman" w:eastAsia="Times New Roman" w:hAnsi="Times New Roman" w:cs="Times New Roman"/>
          <w:bCs/>
          <w:sz w:val="24"/>
          <w:szCs w:val="24"/>
          <w:lang w:eastAsia="pt-BR"/>
        </w:rPr>
        <w:t>Greidanus</w:t>
      </w:r>
      <w:proofErr w:type="spellEnd"/>
      <w:r w:rsidR="00FC6F5C">
        <w:rPr>
          <w:rFonts w:ascii="Times New Roman" w:eastAsia="Times New Roman" w:hAnsi="Times New Roman" w:cs="Times New Roman"/>
          <w:bCs/>
          <w:sz w:val="24"/>
          <w:szCs w:val="24"/>
          <w:lang w:eastAsia="pt-BR"/>
        </w:rPr>
        <w:t>, tendo como objeto decisão unipessoal proferida em agravo de instrumento no âmbito da 19ª Câmara Cível do Tribunal de Justiça do Estado do Paraná, que indeferiu pedido liminar de tutela recursal antecipada (evento 8.1 – autos de origem).</w:t>
      </w:r>
    </w:p>
    <w:p w14:paraId="190B35F7" w14:textId="25928838" w:rsidR="004D143F" w:rsidRDefault="00073A6D" w:rsidP="00FB27C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Eis, em síntese, as razões de inconformismo:</w:t>
      </w:r>
      <w:r w:rsidR="00F91413">
        <w:rPr>
          <w:rFonts w:ascii="Times New Roman" w:eastAsia="Times New Roman" w:hAnsi="Times New Roman" w:cs="Times New Roman"/>
          <w:bCs/>
          <w:sz w:val="24"/>
          <w:szCs w:val="24"/>
          <w:lang w:eastAsia="pt-BR"/>
        </w:rPr>
        <w:t xml:space="preserve"> </w:t>
      </w:r>
      <w:r w:rsidR="004D143F">
        <w:rPr>
          <w:rFonts w:ascii="Times New Roman" w:eastAsia="Times New Roman" w:hAnsi="Times New Roman" w:cs="Times New Roman"/>
          <w:bCs/>
          <w:sz w:val="24"/>
          <w:szCs w:val="24"/>
          <w:lang w:eastAsia="pt-BR"/>
        </w:rPr>
        <w:t>a)</w:t>
      </w:r>
      <w:r w:rsidR="00F91413">
        <w:rPr>
          <w:rFonts w:ascii="Times New Roman" w:eastAsia="Times New Roman" w:hAnsi="Times New Roman" w:cs="Times New Roman"/>
          <w:bCs/>
          <w:sz w:val="24"/>
          <w:szCs w:val="24"/>
          <w:lang w:eastAsia="pt-BR"/>
        </w:rPr>
        <w:t xml:space="preserve"> acometimento da decisão por omissão decorrente de ausência de pronunciamento sobre os pedidos de suspensão do negócio jurídico impugnado e do pedido sucessivo de designação de audiência de justificação; b) avaliação incorreta da alegação do perigo da demora (evento 1.1).</w:t>
      </w:r>
    </w:p>
    <w:p w14:paraId="4441015B" w14:textId="647EAEB3" w:rsidR="00F91413" w:rsidRDefault="00F91413" w:rsidP="00FB27C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Nas contrarrazões, os embargados sustentaram que:</w:t>
      </w:r>
      <w:r w:rsidR="009B0701">
        <w:rPr>
          <w:rFonts w:ascii="Times New Roman" w:eastAsia="Times New Roman" w:hAnsi="Times New Roman" w:cs="Times New Roman"/>
          <w:bCs/>
          <w:sz w:val="24"/>
          <w:szCs w:val="24"/>
          <w:lang w:eastAsia="pt-BR"/>
        </w:rPr>
        <w:t xml:space="preserve"> a) os embargos de declaração não se prestam à arguição de mero inconformismo; b) inexistem omissões a serem sanadas; c) os requisitos do artigo 300 do Código de Processo Civil não foram preenchidos (evento 12.1).</w:t>
      </w:r>
    </w:p>
    <w:p w14:paraId="4FEDC7FD" w14:textId="616002CD" w:rsidR="003F76F3" w:rsidRPr="003F76F3" w:rsidRDefault="00F179EC" w:rsidP="00FB27C5">
      <w:pPr>
        <w:spacing w:before="240" w:after="240" w:line="360" w:lineRule="auto"/>
        <w:ind w:firstLine="709"/>
        <w:jc w:val="both"/>
        <w:rPr>
          <w:rFonts w:ascii="Times New Roman" w:eastAsia="Times New Roman" w:hAnsi="Times New Roman" w:cs="Times New Roman"/>
          <w:bCs/>
          <w:sz w:val="24"/>
          <w:szCs w:val="24"/>
          <w:lang w:eastAsia="pt-BR"/>
        </w:rPr>
      </w:pPr>
      <w:r>
        <w:rPr>
          <w:rFonts w:ascii="Times New Roman" w:eastAsia="Times New Roman" w:hAnsi="Times New Roman" w:cs="Times New Roman"/>
          <w:bCs/>
          <w:sz w:val="24"/>
          <w:szCs w:val="24"/>
          <w:lang w:eastAsia="pt-BR"/>
        </w:rPr>
        <w:t>É o necessário relato.</w:t>
      </w:r>
    </w:p>
    <w:p w14:paraId="40367DF6" w14:textId="77777777" w:rsidR="003F76F3" w:rsidRDefault="003F76F3" w:rsidP="00FB27C5">
      <w:pPr>
        <w:spacing w:before="240" w:after="240" w:line="360" w:lineRule="auto"/>
        <w:ind w:firstLine="709"/>
        <w:jc w:val="both"/>
        <w:rPr>
          <w:rFonts w:ascii="Times New Roman" w:eastAsia="Times New Roman" w:hAnsi="Times New Roman" w:cs="Times New Roman"/>
          <w:b/>
          <w:sz w:val="24"/>
          <w:szCs w:val="24"/>
          <w:lang w:eastAsia="pt-BR"/>
        </w:rPr>
      </w:pPr>
    </w:p>
    <w:p w14:paraId="552CAA17" w14:textId="77777777" w:rsidR="003F76F3" w:rsidRDefault="00FB27C5" w:rsidP="003F76F3">
      <w:pPr>
        <w:spacing w:before="240" w:after="240" w:line="360" w:lineRule="auto"/>
        <w:ind w:firstLine="709"/>
        <w:jc w:val="both"/>
        <w:rPr>
          <w:rFonts w:ascii="Times New Roman" w:eastAsia="Times New Roman" w:hAnsi="Times New Roman" w:cs="Times New Roman"/>
          <w:b/>
          <w:sz w:val="24"/>
          <w:szCs w:val="24"/>
          <w:lang w:eastAsia="pt-BR"/>
        </w:rPr>
      </w:pPr>
      <w:r w:rsidRPr="00260160">
        <w:rPr>
          <w:rFonts w:ascii="Times New Roman" w:hAnsi="Times New Roman" w:cs="Times New Roman"/>
          <w:b/>
          <w:sz w:val="24"/>
          <w:szCs w:val="24"/>
        </w:rPr>
        <w:t>II – FUNDAMENTAÇÃO</w:t>
      </w:r>
    </w:p>
    <w:p w14:paraId="3C68F9C2" w14:textId="77777777"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sidRPr="00C727D6">
        <w:rPr>
          <w:rFonts w:ascii="Times New Roman" w:eastAsia="Times New Roman" w:hAnsi="Times New Roman" w:cs="Times New Roman"/>
          <w:sz w:val="24"/>
          <w:szCs w:val="24"/>
          <w:lang w:eastAsia="pt-BR"/>
        </w:rPr>
        <w:t xml:space="preserve">II.I </w:t>
      </w:r>
      <w:r>
        <w:rPr>
          <w:rFonts w:ascii="Times New Roman" w:eastAsia="Times New Roman" w:hAnsi="Times New Roman" w:cs="Times New Roman"/>
          <w:sz w:val="24"/>
          <w:szCs w:val="24"/>
          <w:lang w:eastAsia="pt-BR"/>
        </w:rPr>
        <w:t>–</w:t>
      </w:r>
      <w:r w:rsidRPr="00C727D6">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DO JUÍZO DE </w:t>
      </w:r>
      <w:r w:rsidRPr="00C727D6">
        <w:rPr>
          <w:rFonts w:ascii="Times New Roman" w:eastAsia="Times New Roman" w:hAnsi="Times New Roman" w:cs="Times New Roman"/>
          <w:sz w:val="24"/>
          <w:szCs w:val="24"/>
          <w:lang w:eastAsia="pt-BR"/>
        </w:rPr>
        <w:t>ADMISSIBILIDADE</w:t>
      </w:r>
    </w:p>
    <w:p w14:paraId="2FF88C41" w14:textId="7E5F4AA2" w:rsidR="00FC6F5C" w:rsidRDefault="00FC6F5C"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pretensão declaratória tem como objeto a colmatação de alegadas omissões na análise do pedido liminar.</w:t>
      </w:r>
    </w:p>
    <w:p w14:paraId="4F120D75" w14:textId="484EF324" w:rsidR="00FC6F5C" w:rsidRPr="00C727D6" w:rsidRDefault="00FC6F5C"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Portanto, à luz do artigo 1.022 do Código de Processo Civil, não há inadequação instrumental.</w:t>
      </w:r>
    </w:p>
    <w:p w14:paraId="22426A3C" w14:textId="4FE999A8"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w:t>
      </w:r>
      <w:r w:rsidR="00FC6F5C">
        <w:rPr>
          <w:rFonts w:ascii="Times New Roman" w:eastAsia="Times New Roman" w:hAnsi="Times New Roman" w:cs="Times New Roman"/>
          <w:sz w:val="24"/>
          <w:szCs w:val="24"/>
          <w:lang w:eastAsia="pt-BR"/>
        </w:rPr>
        <w:t xml:space="preserve">, pois, </w:t>
      </w:r>
      <w:r>
        <w:rPr>
          <w:rFonts w:ascii="Times New Roman" w:eastAsia="Times New Roman" w:hAnsi="Times New Roman" w:cs="Times New Roman"/>
          <w:sz w:val="24"/>
          <w:szCs w:val="24"/>
          <w:lang w:eastAsia="pt-BR"/>
        </w:rPr>
        <w:t xml:space="preserve">os pressupostos de admissibilidade recursal, conhecem-se dos embargos de declaração </w:t>
      </w:r>
      <w:r w:rsidR="00F179EC">
        <w:rPr>
          <w:rFonts w:ascii="Times New Roman" w:eastAsia="Times New Roman" w:hAnsi="Times New Roman" w:cs="Times New Roman"/>
          <w:sz w:val="24"/>
          <w:szCs w:val="24"/>
          <w:lang w:eastAsia="pt-BR"/>
        </w:rPr>
        <w:t>interpostos</w:t>
      </w:r>
      <w:r>
        <w:rPr>
          <w:rFonts w:ascii="Times New Roman" w:eastAsia="Times New Roman" w:hAnsi="Times New Roman" w:cs="Times New Roman"/>
          <w:sz w:val="24"/>
          <w:szCs w:val="24"/>
          <w:lang w:eastAsia="pt-BR"/>
        </w:rPr>
        <w:t>.</w:t>
      </w:r>
    </w:p>
    <w:p w14:paraId="68F242B5" w14:textId="77777777"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p>
    <w:p w14:paraId="30F5FB76" w14:textId="17F13D01" w:rsidR="00E71385" w:rsidRDefault="000D5FE8"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 – D</w:t>
      </w:r>
      <w:r w:rsidR="004D143F">
        <w:rPr>
          <w:rFonts w:ascii="Times New Roman" w:eastAsia="Times New Roman" w:hAnsi="Times New Roman" w:cs="Times New Roman"/>
          <w:sz w:val="24"/>
          <w:szCs w:val="24"/>
          <w:lang w:eastAsia="pt-BR"/>
        </w:rPr>
        <w:t>AS OMISSÕES</w:t>
      </w:r>
    </w:p>
    <w:p w14:paraId="6150569D" w14:textId="77777777" w:rsidR="00F91413" w:rsidRDefault="00F91413"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 análise da decisão impugnada, em cotejo com as razões do agravo de instrumento, alcança-se inferência positiva sobre a ocorrência das omissões apontadas.</w:t>
      </w:r>
    </w:p>
    <w:p w14:paraId="57965BB4" w14:textId="04DD133C" w:rsidR="00F91413" w:rsidRDefault="00F91413" w:rsidP="00E71385">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como forma de colmatação</w:t>
      </w:r>
      <w:r w:rsidR="00754AA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passa-se ao exame dos pedidos objetados.</w:t>
      </w:r>
    </w:p>
    <w:p w14:paraId="72DD068D" w14:textId="697D1D92" w:rsidR="00F93E69" w:rsidRDefault="00F93E69" w:rsidP="00F93E6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Em que pesem as razões de inconformismo, a inferência negativa sobre o requisito do risco de dano grave, de impossível ou difícil reparação também se aplica à pretensão de suspensão do negócio jurídico discutido.</w:t>
      </w:r>
    </w:p>
    <w:p w14:paraId="7688E51A" w14:textId="5E6B5518" w:rsidR="00F93E69" w:rsidRDefault="00F93E69" w:rsidP="00F93E6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Tal inferência decorre de meticuloso exame de todo o conteúdo das razões do recurso de agravo de instrumento e dos elementos de informação apresentados. </w:t>
      </w:r>
      <w:r w:rsidRPr="00C91600">
        <w:rPr>
          <w:rFonts w:ascii="Times New Roman" w:eastAsia="Times New Roman" w:hAnsi="Times New Roman" w:cs="Times New Roman"/>
          <w:sz w:val="24"/>
          <w:szCs w:val="24"/>
          <w:lang w:eastAsia="pt-BR"/>
        </w:rPr>
        <w:t>Com efeito, a análise pormenorizada dos argumentos recursais não evidencia situação concreta de urgência qualificada que justifique a intervenção judicial em sede de cognição sumária, sendo insuficientes meras conjecturas ou receios abstratos de prejuízo.</w:t>
      </w:r>
    </w:p>
    <w:p w14:paraId="6BF11CCC" w14:textId="52EF30B4" w:rsidR="00F93E69" w:rsidRDefault="00F93E69" w:rsidP="00F93E6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requisitos para a tutela pretendida são cumulativos (CPC, art. 300), de modo que a ausência de qualquer um impossibilita a concessão da medida. </w:t>
      </w:r>
      <w:r w:rsidRPr="00C91600">
        <w:rPr>
          <w:rFonts w:ascii="Times New Roman" w:eastAsia="Times New Roman" w:hAnsi="Times New Roman" w:cs="Times New Roman"/>
          <w:sz w:val="24"/>
          <w:szCs w:val="24"/>
          <w:lang w:eastAsia="pt-BR"/>
        </w:rPr>
        <w:t>Este caráter cumulativo decorre da própria excepcionalidade da tutela provisória no sistema processual brasileiro, que privilegia a segurança jurídica e o contraditório como valores fundamentais do devido processo legal.</w:t>
      </w:r>
    </w:p>
    <w:p w14:paraId="67EF1B0D" w14:textId="12072FB8" w:rsidR="00F93E69" w:rsidRDefault="00F93E69" w:rsidP="00F93E6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preponderância do direito fundamental ao contraditório, nesse momento inicial, afasta</w:t>
      </w:r>
      <w:r w:rsidR="00754AA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inclusive</w:t>
      </w:r>
      <w:r w:rsidR="00754AA5">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a pertinência de audiência de </w:t>
      </w:r>
      <w:r w:rsidR="00514DCC">
        <w:rPr>
          <w:rFonts w:ascii="Times New Roman" w:eastAsia="Times New Roman" w:hAnsi="Times New Roman" w:cs="Times New Roman"/>
          <w:sz w:val="24"/>
          <w:szCs w:val="24"/>
          <w:lang w:eastAsia="pt-BR"/>
        </w:rPr>
        <w:t>justificação.</w:t>
      </w:r>
    </w:p>
    <w:p w14:paraId="53B0875E" w14:textId="7D7017D5" w:rsidR="00514DCC" w:rsidRDefault="00514DCC" w:rsidP="00F93E6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presente decisão, entrementes, restringe-se ao exame da tutela recursal antecipada, em caráter </w:t>
      </w:r>
      <w:r w:rsidRPr="00514DCC">
        <w:rPr>
          <w:rFonts w:ascii="Times New Roman" w:eastAsia="Times New Roman" w:hAnsi="Times New Roman" w:cs="Times New Roman"/>
          <w:i/>
          <w:iCs/>
          <w:sz w:val="24"/>
          <w:szCs w:val="24"/>
          <w:lang w:eastAsia="pt-BR"/>
        </w:rPr>
        <w:t>rebus sic stantibus</w:t>
      </w:r>
      <w:r>
        <w:rPr>
          <w:rFonts w:ascii="Times New Roman" w:eastAsia="Times New Roman" w:hAnsi="Times New Roman" w:cs="Times New Roman"/>
          <w:sz w:val="24"/>
          <w:szCs w:val="24"/>
          <w:lang w:eastAsia="pt-BR"/>
        </w:rPr>
        <w:t>, não vinculando o exame definitivo do mérito do agravo de instrumento pelo colegiado.</w:t>
      </w:r>
    </w:p>
    <w:p w14:paraId="336D6636" w14:textId="493CB038" w:rsidR="00F93E69" w:rsidRDefault="00514DCC" w:rsidP="00F93E69">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Assim, apesar </w:t>
      </w:r>
      <w:r w:rsidR="00754AA5">
        <w:rPr>
          <w:rFonts w:ascii="Times New Roman" w:eastAsia="Times New Roman" w:hAnsi="Times New Roman" w:cs="Times New Roman"/>
          <w:sz w:val="24"/>
          <w:szCs w:val="24"/>
          <w:lang w:eastAsia="pt-BR"/>
        </w:rPr>
        <w:t>d</w:t>
      </w:r>
      <w:r>
        <w:rPr>
          <w:rFonts w:ascii="Times New Roman" w:eastAsia="Times New Roman" w:hAnsi="Times New Roman" w:cs="Times New Roman"/>
          <w:sz w:val="24"/>
          <w:szCs w:val="24"/>
          <w:lang w:eastAsia="pt-BR"/>
        </w:rPr>
        <w:t>a declaração das omissões, não se cogita a atribuição de repercussão processual incaracterística ao agravo.</w:t>
      </w:r>
    </w:p>
    <w:p w14:paraId="3FD06BAB" w14:textId="77777777" w:rsidR="004D143F" w:rsidRDefault="004D143F" w:rsidP="00E71385">
      <w:pPr>
        <w:spacing w:before="240" w:after="240" w:line="360" w:lineRule="auto"/>
        <w:ind w:firstLine="709"/>
        <w:jc w:val="both"/>
        <w:rPr>
          <w:rFonts w:ascii="Times New Roman" w:eastAsia="Times New Roman" w:hAnsi="Times New Roman" w:cs="Times New Roman"/>
          <w:sz w:val="24"/>
          <w:szCs w:val="24"/>
          <w:lang w:eastAsia="pt-BR"/>
        </w:rPr>
      </w:pPr>
    </w:p>
    <w:p w14:paraId="43B872B9" w14:textId="354A4AEF" w:rsidR="00514DCC" w:rsidRPr="00514DCC" w:rsidRDefault="004D143F" w:rsidP="00E71385">
      <w:pPr>
        <w:spacing w:before="240" w:after="240" w:line="360" w:lineRule="auto"/>
        <w:ind w:firstLine="709"/>
        <w:jc w:val="both"/>
        <w:rPr>
          <w:rFonts w:ascii="Times New Roman" w:eastAsia="Times New Roman" w:hAnsi="Times New Roman" w:cs="Times New Roman"/>
          <w:sz w:val="24"/>
          <w:szCs w:val="24"/>
          <w:lang w:eastAsia="pt-BR"/>
        </w:rPr>
      </w:pPr>
      <w:proofErr w:type="spellStart"/>
      <w:r w:rsidRPr="00514DCC">
        <w:rPr>
          <w:rFonts w:ascii="Times New Roman" w:eastAsia="Times New Roman" w:hAnsi="Times New Roman" w:cs="Times New Roman"/>
          <w:sz w:val="24"/>
          <w:szCs w:val="24"/>
          <w:lang w:eastAsia="pt-BR"/>
        </w:rPr>
        <w:t>II.III</w:t>
      </w:r>
      <w:proofErr w:type="spellEnd"/>
      <w:r w:rsidRPr="00514DCC">
        <w:rPr>
          <w:rFonts w:ascii="Times New Roman" w:eastAsia="Times New Roman" w:hAnsi="Times New Roman" w:cs="Times New Roman"/>
          <w:sz w:val="24"/>
          <w:szCs w:val="24"/>
          <w:lang w:eastAsia="pt-BR"/>
        </w:rPr>
        <w:t xml:space="preserve"> – DO PERIGO DA DEMORA</w:t>
      </w:r>
    </w:p>
    <w:p w14:paraId="42709DFA" w14:textId="7FE45230" w:rsidR="000E6E40" w:rsidRPr="00514DCC" w:rsidRDefault="00514DCC" w:rsidP="00514DCC">
      <w:pPr>
        <w:spacing w:before="240" w:after="240" w:line="360" w:lineRule="auto"/>
        <w:ind w:firstLine="709"/>
        <w:jc w:val="both"/>
        <w:rPr>
          <w:rFonts w:ascii="Times New Roman" w:eastAsia="Times New Roman" w:hAnsi="Times New Roman" w:cs="Times New Roman"/>
          <w:sz w:val="24"/>
          <w:szCs w:val="24"/>
          <w:lang w:eastAsia="pt-BR"/>
        </w:rPr>
      </w:pPr>
      <w:r w:rsidRPr="00514DCC">
        <w:rPr>
          <w:rFonts w:ascii="Times New Roman" w:eastAsia="Times New Roman" w:hAnsi="Times New Roman" w:cs="Times New Roman"/>
          <w:sz w:val="24"/>
          <w:szCs w:val="24"/>
          <w:lang w:eastAsia="pt-BR"/>
        </w:rPr>
        <w:t xml:space="preserve">Quanto </w:t>
      </w:r>
      <w:r w:rsidR="00754AA5">
        <w:rPr>
          <w:rFonts w:ascii="Times New Roman" w:eastAsia="Times New Roman" w:hAnsi="Times New Roman" w:cs="Times New Roman"/>
          <w:sz w:val="24"/>
          <w:szCs w:val="24"/>
          <w:lang w:eastAsia="pt-BR"/>
        </w:rPr>
        <w:t>à</w:t>
      </w:r>
      <w:r w:rsidRPr="00514DCC">
        <w:rPr>
          <w:rFonts w:ascii="Times New Roman" w:eastAsia="Times New Roman" w:hAnsi="Times New Roman" w:cs="Times New Roman"/>
          <w:sz w:val="24"/>
          <w:szCs w:val="24"/>
          <w:lang w:eastAsia="pt-BR"/>
        </w:rPr>
        <w:t xml:space="preserve"> alegada incorreção na análise do perigo da demora, </w:t>
      </w:r>
      <w:r w:rsidR="000E6E40" w:rsidRPr="00514DCC">
        <w:rPr>
          <w:rFonts w:ascii="Times New Roman" w:eastAsia="Times New Roman" w:hAnsi="Times New Roman" w:cs="Times New Roman"/>
          <w:sz w:val="24"/>
          <w:szCs w:val="24"/>
          <w:lang w:eastAsia="pt-BR"/>
        </w:rPr>
        <w:t>a pretensão declaratória constitui evidente inconformismo com a solução jurídica adotada</w:t>
      </w:r>
      <w:r w:rsidR="009C15FA" w:rsidRPr="00514DCC">
        <w:rPr>
          <w:rFonts w:ascii="Times New Roman" w:eastAsia="Times New Roman" w:hAnsi="Times New Roman" w:cs="Times New Roman"/>
          <w:sz w:val="24"/>
          <w:szCs w:val="24"/>
          <w:lang w:eastAsia="pt-BR"/>
        </w:rPr>
        <w:t>, hipótese incompatível com o perfil normativo do art. 1.022 do Código de Processo Civil.</w:t>
      </w:r>
    </w:p>
    <w:p w14:paraId="31DEA2DC" w14:textId="77777777" w:rsidR="00E71385" w:rsidRDefault="00E71385" w:rsidP="00E71385">
      <w:pPr>
        <w:spacing w:before="240" w:after="240" w:line="360" w:lineRule="auto"/>
        <w:ind w:firstLine="709"/>
        <w:jc w:val="both"/>
        <w:rPr>
          <w:rFonts w:ascii="Times New Roman" w:eastAsia="Times New Roman" w:hAnsi="Times New Roman" w:cs="Times New Roman"/>
          <w:sz w:val="24"/>
          <w:szCs w:val="24"/>
          <w:lang w:eastAsia="pt-BR"/>
        </w:rPr>
      </w:pPr>
      <w:r w:rsidRPr="00514DCC">
        <w:rPr>
          <w:rFonts w:ascii="Times New Roman" w:eastAsia="Times New Roman" w:hAnsi="Times New Roman" w:cs="Times New Roman"/>
          <w:sz w:val="24"/>
          <w:szCs w:val="24"/>
          <w:lang w:eastAsia="pt-BR"/>
        </w:rPr>
        <w:t>A propósito do tema:</w:t>
      </w:r>
    </w:p>
    <w:p w14:paraId="494A61D7" w14:textId="77777777" w:rsidR="00514DCC" w:rsidRPr="00514DCC" w:rsidRDefault="00514DCC" w:rsidP="00E71385">
      <w:pPr>
        <w:spacing w:before="240" w:after="240" w:line="360" w:lineRule="auto"/>
        <w:ind w:firstLine="709"/>
        <w:jc w:val="both"/>
        <w:rPr>
          <w:rFonts w:ascii="Times New Roman" w:eastAsia="Times New Roman" w:hAnsi="Times New Roman" w:cs="Times New Roman"/>
          <w:sz w:val="24"/>
          <w:szCs w:val="24"/>
          <w:lang w:eastAsia="pt-BR"/>
        </w:rPr>
      </w:pPr>
    </w:p>
    <w:p w14:paraId="5CCF0C8B" w14:textId="77777777" w:rsidR="00F93E69" w:rsidRPr="006E5A89" w:rsidRDefault="00F93E69" w:rsidP="00F93E69">
      <w:pPr>
        <w:spacing w:after="240" w:line="360" w:lineRule="auto"/>
        <w:ind w:left="2268"/>
        <w:jc w:val="both"/>
        <w:rPr>
          <w:rFonts w:ascii="Times New Roman" w:eastAsia="Times New Roman" w:hAnsi="Times New Roman" w:cs="Times New Roman"/>
          <w:sz w:val="20"/>
          <w:szCs w:val="20"/>
          <w:lang w:eastAsia="pt-BR"/>
        </w:rPr>
      </w:pPr>
      <w:r w:rsidRPr="006E5A89">
        <w:rPr>
          <w:rFonts w:ascii="Times New Roman" w:eastAsia="Times New Roman" w:hAnsi="Times New Roman" w:cs="Times New Roman"/>
          <w:sz w:val="20"/>
          <w:szCs w:val="20"/>
          <w:lang w:eastAsia="pt-BR"/>
        </w:rPr>
        <w:t xml:space="preserve">PROCESSUAL CIVIL. EMBARGOS DE DECLARAÇÃO NO AGRAVO INTERNO NO AGRAVO EM RECURSO ESPECIAL. INEXISTÊNCIA DE VÍCIOS NO JULGADO. 1. Nos termos do art. 1.022 do Código de Processo Civil, os embargos de declaração destinam-se a esclarecer obscuridade, eliminar contradição, suprir omissão e corrigir erro material eventualmente existentes no julgado, o que não se verifica no caso dos autos. 2. Não podem ser acolhidos os embargos de declaração que, a pretexto de alegados vícios na decisão embargada, expressam o mero inconformismo da parte com o desfecho do julgado, buscando tão somente provocar a rediscussão da controvérsia. 3. Na hipótese dos autos, a parte embargante não apontou nenhum vício na decisão embargada. </w:t>
      </w:r>
      <w:r w:rsidRPr="006E5A89">
        <w:rPr>
          <w:rFonts w:ascii="Times New Roman" w:eastAsia="Times New Roman" w:hAnsi="Times New Roman" w:cs="Times New Roman"/>
          <w:b/>
          <w:bCs/>
          <w:sz w:val="20"/>
          <w:szCs w:val="20"/>
          <w:lang w:eastAsia="pt-BR"/>
        </w:rPr>
        <w:t>4. O julgador não está obrigado a responder a todos os argumentos suscitados pelas partes, quando já tenha encontrado motivo suficiente para proferir a decisão, sendo seu dever apenas enfrentar as questões capazes de infirmar a conclusão adotada na decisão recorrida.</w:t>
      </w:r>
      <w:r w:rsidRPr="006E5A89">
        <w:rPr>
          <w:rFonts w:ascii="Times New Roman" w:eastAsia="Times New Roman" w:hAnsi="Times New Roman" w:cs="Times New Roman"/>
          <w:sz w:val="20"/>
          <w:szCs w:val="20"/>
          <w:lang w:eastAsia="pt-BR"/>
        </w:rPr>
        <w:t xml:space="preserve"> Precedentes. Embargos de declaração rejeitados. (STJ. Terceira Turma. Relator: Ministro Humberto Martins. EDcl no </w:t>
      </w:r>
      <w:proofErr w:type="spellStart"/>
      <w:r w:rsidRPr="006E5A89">
        <w:rPr>
          <w:rFonts w:ascii="Times New Roman" w:eastAsia="Times New Roman" w:hAnsi="Times New Roman" w:cs="Times New Roman"/>
          <w:sz w:val="20"/>
          <w:szCs w:val="20"/>
          <w:lang w:eastAsia="pt-BR"/>
        </w:rPr>
        <w:t>AgInt</w:t>
      </w:r>
      <w:proofErr w:type="spellEnd"/>
      <w:r w:rsidRPr="006E5A89">
        <w:rPr>
          <w:rFonts w:ascii="Times New Roman" w:eastAsia="Times New Roman" w:hAnsi="Times New Roman" w:cs="Times New Roman"/>
          <w:sz w:val="20"/>
          <w:szCs w:val="20"/>
          <w:lang w:eastAsia="pt-BR"/>
        </w:rPr>
        <w:t xml:space="preserve"> no </w:t>
      </w:r>
      <w:proofErr w:type="spellStart"/>
      <w:r w:rsidRPr="006E5A89">
        <w:rPr>
          <w:rFonts w:ascii="Times New Roman" w:eastAsia="Times New Roman" w:hAnsi="Times New Roman" w:cs="Times New Roman"/>
          <w:sz w:val="20"/>
          <w:szCs w:val="20"/>
          <w:lang w:eastAsia="pt-BR"/>
        </w:rPr>
        <w:t>AREsp</w:t>
      </w:r>
      <w:proofErr w:type="spellEnd"/>
      <w:r w:rsidRPr="006E5A89">
        <w:rPr>
          <w:rFonts w:ascii="Times New Roman" w:eastAsia="Times New Roman" w:hAnsi="Times New Roman" w:cs="Times New Roman"/>
          <w:sz w:val="20"/>
          <w:szCs w:val="20"/>
          <w:lang w:eastAsia="pt-BR"/>
        </w:rPr>
        <w:t xml:space="preserve"> n. 2.662.609/CE. Data de julgamento: 09-12-2024. Data de publicação: 12-12-2024).</w:t>
      </w:r>
    </w:p>
    <w:p w14:paraId="451AAB89" w14:textId="77777777" w:rsidR="00E71385" w:rsidRPr="004D143F" w:rsidRDefault="00E71385" w:rsidP="00E71385">
      <w:pPr>
        <w:spacing w:before="240" w:after="240" w:line="360" w:lineRule="auto"/>
        <w:ind w:firstLine="709"/>
        <w:jc w:val="both"/>
        <w:rPr>
          <w:rFonts w:ascii="Times New Roman" w:eastAsia="Times New Roman" w:hAnsi="Times New Roman" w:cs="Times New Roman"/>
          <w:sz w:val="24"/>
          <w:szCs w:val="24"/>
          <w:highlight w:val="yellow"/>
          <w:lang w:eastAsia="pt-BR"/>
        </w:rPr>
      </w:pPr>
    </w:p>
    <w:p w14:paraId="2B3389E7" w14:textId="77777777" w:rsidR="00E71385" w:rsidRPr="00514DCC" w:rsidRDefault="00E71385" w:rsidP="00E71385">
      <w:pPr>
        <w:spacing w:after="240" w:line="360" w:lineRule="auto"/>
        <w:ind w:left="2268"/>
        <w:jc w:val="both"/>
        <w:rPr>
          <w:rFonts w:ascii="Times New Roman" w:hAnsi="Times New Roman" w:cs="Times New Roman"/>
          <w:sz w:val="20"/>
        </w:rPr>
      </w:pPr>
      <w:r w:rsidRPr="00514DCC">
        <w:rPr>
          <w:rFonts w:ascii="Times New Roman" w:hAnsi="Times New Roman" w:cs="Times New Roman"/>
          <w:sz w:val="20"/>
        </w:rPr>
        <w:t xml:space="preserve">PROCESSUAL CIVIL. ENUNCIADO ADMINISTRATIVO Nº 03/STJ. EMBARGOS DE DECLARAÇÃO. INEXISTÊNCIA DE VÍCIOS NO JULGADO. REDISCUSSÃO DE MATÉRIA JÁ DECIDIDA. IMPOSSIBILIDADE. </w:t>
      </w:r>
      <w:r w:rsidRPr="00514DCC">
        <w:rPr>
          <w:rFonts w:ascii="Times New Roman" w:hAnsi="Times New Roman" w:cs="Times New Roman"/>
          <w:b/>
          <w:sz w:val="20"/>
        </w:rPr>
        <w:t xml:space="preserve">1. Os embargos de declaração têm a finalidade simples e única de completar, aclarar ou corrigir uma decisão omissa, obscura ou contraditória. Não são destinados à adequação do decisum ao entendimento da parte embargante, nem ao acolhimento de pretensões que refletem mero inconformismo, e, menos ainda, à rediscussão de questão já resolvida. Precedentes. </w:t>
      </w:r>
      <w:r w:rsidRPr="00514DCC">
        <w:rPr>
          <w:rFonts w:ascii="Times New Roman" w:hAnsi="Times New Roman" w:cs="Times New Roman"/>
          <w:sz w:val="20"/>
        </w:rPr>
        <w:t xml:space="preserve">2. A análise das razões recursais revela a pretensão da parte em alterar o resultado do decisum, o que é inviável nesta seara recursal. 3. Embargos de declaração rejeitados. (STJ. 1ª Seção. Relator: Ministro Mauro Campbell Marques. EDcl. no AgRg. nos </w:t>
      </w:r>
      <w:proofErr w:type="spellStart"/>
      <w:r w:rsidRPr="00514DCC">
        <w:rPr>
          <w:rFonts w:ascii="Times New Roman" w:hAnsi="Times New Roman" w:cs="Times New Roman"/>
          <w:sz w:val="20"/>
        </w:rPr>
        <w:t>EAREsp</w:t>
      </w:r>
      <w:proofErr w:type="spellEnd"/>
      <w:r w:rsidRPr="00514DCC">
        <w:rPr>
          <w:rFonts w:ascii="Times New Roman" w:hAnsi="Times New Roman" w:cs="Times New Roman"/>
          <w:sz w:val="20"/>
        </w:rPr>
        <w:t>. n. 620.940/RS. Data de Julgamento: 14-09-2016. Data de Publicação: 21-09-2016).</w:t>
      </w:r>
    </w:p>
    <w:p w14:paraId="26A8A013" w14:textId="77777777" w:rsidR="000E6E40" w:rsidRPr="00514DCC" w:rsidRDefault="000E6E40" w:rsidP="001A7907">
      <w:pPr>
        <w:spacing w:after="240" w:line="360" w:lineRule="auto"/>
        <w:jc w:val="both"/>
        <w:rPr>
          <w:rFonts w:ascii="Times New Roman" w:hAnsi="Times New Roman" w:cs="Times New Roman"/>
          <w:sz w:val="20"/>
        </w:rPr>
      </w:pPr>
    </w:p>
    <w:p w14:paraId="23FB76AE" w14:textId="2430F591" w:rsidR="00AC5279" w:rsidRPr="00514DCC" w:rsidRDefault="00514DCC" w:rsidP="000E6E4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tese jurídica respectiva </w:t>
      </w:r>
      <w:r w:rsidR="000E6E40" w:rsidRPr="00514DCC">
        <w:rPr>
          <w:rFonts w:ascii="Times New Roman" w:eastAsia="Times New Roman" w:hAnsi="Times New Roman" w:cs="Times New Roman"/>
          <w:sz w:val="24"/>
          <w:szCs w:val="24"/>
          <w:lang w:eastAsia="pt-BR"/>
        </w:rPr>
        <w:t>fo</w:t>
      </w:r>
      <w:r>
        <w:rPr>
          <w:rFonts w:ascii="Times New Roman" w:eastAsia="Times New Roman" w:hAnsi="Times New Roman" w:cs="Times New Roman"/>
          <w:sz w:val="24"/>
          <w:szCs w:val="24"/>
          <w:lang w:eastAsia="pt-BR"/>
        </w:rPr>
        <w:t>i</w:t>
      </w:r>
      <w:r w:rsidR="000E6E40" w:rsidRPr="00514DCC">
        <w:rPr>
          <w:rFonts w:ascii="Times New Roman" w:eastAsia="Times New Roman" w:hAnsi="Times New Roman" w:cs="Times New Roman"/>
          <w:sz w:val="24"/>
          <w:szCs w:val="24"/>
          <w:lang w:eastAsia="pt-BR"/>
        </w:rPr>
        <w:t xml:space="preserve"> objeto de percuciente análise e a decisão, exposta mediante fundamentação plena</w:t>
      </w:r>
      <w:r w:rsidR="00AC5279" w:rsidRPr="00514DCC">
        <w:rPr>
          <w:rFonts w:ascii="Times New Roman" w:eastAsia="Times New Roman" w:hAnsi="Times New Roman" w:cs="Times New Roman"/>
          <w:sz w:val="24"/>
          <w:szCs w:val="24"/>
          <w:lang w:eastAsia="pt-BR"/>
        </w:rPr>
        <w:t>, sem nenhuma contradição, omissão, obscuridade ou erro material.</w:t>
      </w:r>
    </w:p>
    <w:p w14:paraId="5229F54D" w14:textId="42FA383C" w:rsidR="00AC5279" w:rsidRPr="00514DCC" w:rsidRDefault="000E6E40" w:rsidP="00AC5279">
      <w:pPr>
        <w:spacing w:before="240" w:after="240" w:line="360" w:lineRule="auto"/>
        <w:ind w:firstLine="709"/>
        <w:jc w:val="both"/>
        <w:rPr>
          <w:rFonts w:ascii="Times New Roman" w:eastAsia="Times New Roman" w:hAnsi="Times New Roman" w:cs="Times New Roman"/>
          <w:sz w:val="24"/>
          <w:szCs w:val="24"/>
          <w:lang w:eastAsia="pt-BR"/>
        </w:rPr>
      </w:pPr>
      <w:r w:rsidRPr="00514DCC">
        <w:rPr>
          <w:rFonts w:ascii="Times New Roman" w:eastAsia="Times New Roman" w:hAnsi="Times New Roman" w:cs="Times New Roman"/>
          <w:sz w:val="24"/>
          <w:szCs w:val="24"/>
          <w:lang w:eastAsia="pt-BR"/>
        </w:rPr>
        <w:t>A simples leitura dos fundamentos do pronunciamento embargado</w:t>
      </w:r>
      <w:r w:rsidR="00514DCC">
        <w:rPr>
          <w:rFonts w:ascii="Times New Roman" w:eastAsia="Times New Roman" w:hAnsi="Times New Roman" w:cs="Times New Roman"/>
          <w:sz w:val="24"/>
          <w:szCs w:val="24"/>
          <w:lang w:eastAsia="pt-BR"/>
        </w:rPr>
        <w:t xml:space="preserve"> </w:t>
      </w:r>
      <w:r w:rsidRPr="00514DCC">
        <w:rPr>
          <w:rFonts w:ascii="Times New Roman" w:eastAsia="Times New Roman" w:hAnsi="Times New Roman" w:cs="Times New Roman"/>
          <w:sz w:val="24"/>
          <w:szCs w:val="24"/>
          <w:lang w:eastAsia="pt-BR"/>
        </w:rPr>
        <w:t>viabiliza tal inferência.</w:t>
      </w:r>
    </w:p>
    <w:p w14:paraId="543377DD" w14:textId="552E2E97" w:rsidR="00E71385" w:rsidRDefault="00E71385" w:rsidP="00514DCC">
      <w:pPr>
        <w:spacing w:before="240" w:after="240" w:line="360" w:lineRule="auto"/>
        <w:ind w:firstLine="709"/>
        <w:jc w:val="both"/>
        <w:rPr>
          <w:rFonts w:ascii="Times New Roman" w:eastAsia="Times New Roman" w:hAnsi="Times New Roman" w:cs="Times New Roman"/>
          <w:sz w:val="24"/>
          <w:szCs w:val="24"/>
          <w:lang w:eastAsia="pt-BR"/>
        </w:rPr>
      </w:pPr>
      <w:r w:rsidRPr="00514DCC">
        <w:rPr>
          <w:rFonts w:ascii="Times New Roman" w:eastAsia="Times New Roman" w:hAnsi="Times New Roman" w:cs="Times New Roman"/>
          <w:sz w:val="24"/>
          <w:szCs w:val="24"/>
          <w:lang w:eastAsia="pt-BR"/>
        </w:rPr>
        <w:t>Ausente</w:t>
      </w:r>
      <w:r w:rsidR="00514DCC">
        <w:rPr>
          <w:rFonts w:ascii="Times New Roman" w:eastAsia="Times New Roman" w:hAnsi="Times New Roman" w:cs="Times New Roman"/>
          <w:sz w:val="24"/>
          <w:szCs w:val="24"/>
          <w:lang w:eastAsia="pt-BR"/>
        </w:rPr>
        <w:t xml:space="preserve"> </w:t>
      </w:r>
      <w:r w:rsidRPr="00514DCC">
        <w:rPr>
          <w:rFonts w:ascii="Times New Roman" w:eastAsia="Times New Roman" w:hAnsi="Times New Roman" w:cs="Times New Roman"/>
          <w:sz w:val="24"/>
          <w:szCs w:val="24"/>
          <w:lang w:eastAsia="pt-BR"/>
        </w:rPr>
        <w:t xml:space="preserve">propósito de colmatação </w:t>
      </w:r>
      <w:r w:rsidR="00514DCC">
        <w:rPr>
          <w:rFonts w:ascii="Times New Roman" w:eastAsia="Times New Roman" w:hAnsi="Times New Roman" w:cs="Times New Roman"/>
          <w:sz w:val="24"/>
          <w:szCs w:val="24"/>
          <w:lang w:eastAsia="pt-BR"/>
        </w:rPr>
        <w:t xml:space="preserve">no capítulo em questão e </w:t>
      </w:r>
      <w:r w:rsidRPr="00514DCC">
        <w:rPr>
          <w:rFonts w:ascii="Times New Roman" w:eastAsia="Times New Roman" w:hAnsi="Times New Roman" w:cs="Times New Roman"/>
          <w:sz w:val="24"/>
          <w:szCs w:val="24"/>
          <w:lang w:eastAsia="pt-BR"/>
        </w:rPr>
        <w:t>sendo evidente a pretensão de rediscussão da matéria, não se</w:t>
      </w:r>
      <w:r w:rsidR="00514DCC">
        <w:rPr>
          <w:rFonts w:ascii="Times New Roman" w:eastAsia="Times New Roman" w:hAnsi="Times New Roman" w:cs="Times New Roman"/>
          <w:sz w:val="24"/>
          <w:szCs w:val="24"/>
          <w:lang w:eastAsia="pt-BR"/>
        </w:rPr>
        <w:t xml:space="preserve"> excogita o acolhimento</w:t>
      </w:r>
      <w:r w:rsidR="00AC5279" w:rsidRPr="00514DCC">
        <w:rPr>
          <w:rFonts w:ascii="Times New Roman" w:eastAsia="Times New Roman" w:hAnsi="Times New Roman" w:cs="Times New Roman"/>
          <w:sz w:val="24"/>
          <w:szCs w:val="24"/>
          <w:lang w:eastAsia="pt-BR"/>
        </w:rPr>
        <w:t xml:space="preserve"> da pretensão recursal.</w:t>
      </w:r>
    </w:p>
    <w:p w14:paraId="31E6DCB2" w14:textId="77777777" w:rsidR="00AC5279" w:rsidRDefault="00AC5279" w:rsidP="00E71385">
      <w:pPr>
        <w:spacing w:before="240" w:after="240" w:line="360" w:lineRule="auto"/>
        <w:ind w:firstLine="709"/>
        <w:jc w:val="both"/>
        <w:rPr>
          <w:rFonts w:ascii="Times New Roman" w:eastAsia="Times New Roman" w:hAnsi="Times New Roman" w:cs="Times New Roman"/>
          <w:sz w:val="24"/>
          <w:szCs w:val="24"/>
          <w:lang w:eastAsia="pt-BR"/>
        </w:rPr>
      </w:pPr>
    </w:p>
    <w:p w14:paraId="650F062D" w14:textId="77777777" w:rsidR="00F91413" w:rsidRDefault="00F91413" w:rsidP="00F91413">
      <w:pPr>
        <w:spacing w:before="240" w:after="240" w:line="360" w:lineRule="auto"/>
        <w:ind w:firstLine="709"/>
        <w:jc w:val="both"/>
        <w:rPr>
          <w:rFonts w:ascii="Times New Roman" w:eastAsia="Times New Roman" w:hAnsi="Times New Roman" w:cs="Times New Roman"/>
          <w:b/>
          <w:sz w:val="24"/>
          <w:szCs w:val="24"/>
          <w:lang w:eastAsia="pt-BR"/>
        </w:rPr>
      </w:pPr>
      <w:r w:rsidRPr="00260160">
        <w:rPr>
          <w:rFonts w:ascii="Times New Roman" w:hAnsi="Times New Roman" w:cs="Times New Roman"/>
          <w:b/>
          <w:sz w:val="24"/>
          <w:szCs w:val="24"/>
        </w:rPr>
        <w:t xml:space="preserve">III </w:t>
      </w:r>
      <w:r>
        <w:rPr>
          <w:rFonts w:ascii="Times New Roman" w:hAnsi="Times New Roman" w:cs="Times New Roman"/>
          <w:b/>
          <w:sz w:val="24"/>
          <w:szCs w:val="24"/>
        </w:rPr>
        <w:t>–</w:t>
      </w:r>
      <w:r w:rsidRPr="00260160">
        <w:rPr>
          <w:rFonts w:ascii="Times New Roman" w:hAnsi="Times New Roman" w:cs="Times New Roman"/>
          <w:b/>
          <w:sz w:val="24"/>
          <w:szCs w:val="24"/>
        </w:rPr>
        <w:t xml:space="preserve"> DECISÃO</w:t>
      </w:r>
    </w:p>
    <w:p w14:paraId="58DA9502" w14:textId="4CB45A84" w:rsidR="009B0701" w:rsidRDefault="00514DCC" w:rsidP="009B0701">
      <w:pPr>
        <w:spacing w:before="240" w:after="240" w:line="360" w:lineRule="auto"/>
        <w:ind w:firstLine="709"/>
        <w:jc w:val="both"/>
        <w:rPr>
          <w:rFonts w:ascii="Times New Roman" w:eastAsia="Times New Roman" w:hAnsi="Times New Roman" w:cs="Times New Roman"/>
          <w:sz w:val="24"/>
          <w:szCs w:val="24"/>
          <w:lang w:eastAsia="pt-BR"/>
        </w:rPr>
      </w:pPr>
      <w:r w:rsidRPr="002A755D">
        <w:rPr>
          <w:rFonts w:ascii="Times New Roman" w:eastAsia="Times New Roman" w:hAnsi="Times New Roman" w:cs="Times New Roman"/>
          <w:sz w:val="24"/>
          <w:szCs w:val="24"/>
          <w:lang w:eastAsia="pt-BR"/>
        </w:rPr>
        <w:t xml:space="preserve">Ante o exposto, com </w:t>
      </w:r>
      <w:r w:rsidR="009B0701">
        <w:rPr>
          <w:rFonts w:ascii="Times New Roman" w:eastAsia="Times New Roman" w:hAnsi="Times New Roman" w:cs="Times New Roman"/>
          <w:sz w:val="24"/>
          <w:szCs w:val="24"/>
          <w:lang w:eastAsia="pt-BR"/>
        </w:rPr>
        <w:t>fundamento</w:t>
      </w:r>
      <w:r w:rsidRPr="002A755D">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 xml:space="preserve">no artigo 1.022 do Código de Processo Civil e no artigo 182, inciso </w:t>
      </w:r>
      <w:proofErr w:type="spellStart"/>
      <w:r>
        <w:rPr>
          <w:rFonts w:ascii="Times New Roman" w:eastAsia="Times New Roman" w:hAnsi="Times New Roman" w:cs="Times New Roman"/>
          <w:sz w:val="24"/>
          <w:szCs w:val="24"/>
          <w:lang w:eastAsia="pt-BR"/>
        </w:rPr>
        <w:t>XXXIX</w:t>
      </w:r>
      <w:proofErr w:type="spellEnd"/>
      <w:r>
        <w:rPr>
          <w:rFonts w:ascii="Times New Roman" w:eastAsia="Times New Roman" w:hAnsi="Times New Roman" w:cs="Times New Roman"/>
          <w:sz w:val="24"/>
          <w:szCs w:val="24"/>
          <w:lang w:eastAsia="pt-BR"/>
        </w:rPr>
        <w:t xml:space="preserve"> do Regimento Interno do Tribunal de Justiça do Estado do Paraná, julga-se conhecido e </w:t>
      </w:r>
      <w:r w:rsidR="009B0701">
        <w:rPr>
          <w:rFonts w:ascii="Times New Roman" w:eastAsia="Times New Roman" w:hAnsi="Times New Roman" w:cs="Times New Roman"/>
          <w:sz w:val="24"/>
          <w:szCs w:val="24"/>
          <w:lang w:eastAsia="pt-BR"/>
        </w:rPr>
        <w:t>parcialmente provido o recurso para: a) declarar as omissões na análise dos pedidos de suspensão dos efeitos do negócio jurídico de dação em pagamento, anuência de cessão de crédito e eventual adjudicação e designação de audiência de justificação; b) indeferir a atribuição e efeito ativo ao agravo de instrumento.</w:t>
      </w:r>
    </w:p>
    <w:p w14:paraId="19362B98" w14:textId="77777777" w:rsidR="00514DCC" w:rsidRPr="002A755D" w:rsidRDefault="00514DCC" w:rsidP="00514DCC">
      <w:pPr>
        <w:spacing w:before="240" w:after="240" w:line="360" w:lineRule="auto"/>
        <w:ind w:firstLine="709"/>
        <w:jc w:val="both"/>
        <w:rPr>
          <w:rFonts w:ascii="Times New Roman" w:eastAsia="Times New Roman" w:hAnsi="Times New Roman" w:cs="Times New Roman"/>
          <w:sz w:val="24"/>
          <w:szCs w:val="24"/>
          <w:lang w:eastAsia="pt-BR"/>
        </w:rPr>
      </w:pPr>
      <w:r w:rsidRPr="002A755D">
        <w:rPr>
          <w:rFonts w:ascii="Times New Roman" w:eastAsia="Times New Roman" w:hAnsi="Times New Roman" w:cs="Times New Roman"/>
          <w:sz w:val="24"/>
          <w:szCs w:val="24"/>
          <w:lang w:eastAsia="pt-BR"/>
        </w:rPr>
        <w:t>Publique-se. Intimem-se as partes.</w:t>
      </w:r>
    </w:p>
    <w:p w14:paraId="15768E32" w14:textId="3CA18AAD" w:rsidR="003F76F3" w:rsidRDefault="00514DCC" w:rsidP="003F76F3">
      <w:pPr>
        <w:spacing w:before="240" w:after="240" w:line="360" w:lineRule="auto"/>
        <w:ind w:firstLine="709"/>
        <w:jc w:val="both"/>
        <w:rPr>
          <w:rFonts w:ascii="Times New Roman" w:eastAsia="Times New Roman" w:hAnsi="Times New Roman" w:cs="Times New Roman"/>
          <w:b/>
          <w:sz w:val="24"/>
          <w:szCs w:val="24"/>
          <w:lang w:eastAsia="pt-BR"/>
        </w:rPr>
      </w:pPr>
      <w:r w:rsidRPr="002A755D">
        <w:rPr>
          <w:rFonts w:ascii="Times New Roman" w:eastAsia="Times New Roman" w:hAnsi="Times New Roman" w:cs="Times New Roman"/>
          <w:sz w:val="24"/>
          <w:szCs w:val="24"/>
          <w:lang w:eastAsia="pt-BR"/>
        </w:rPr>
        <w:t>Oportunamente, arquivem-se os autos.</w:t>
      </w:r>
    </w:p>
    <w:sectPr w:rsidR="003F76F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295214825">
    <w:abstractNumId w:val="1"/>
  </w:num>
  <w:num w:numId="2" w16cid:durableId="1809395550">
    <w:abstractNumId w:val="6"/>
  </w:num>
  <w:num w:numId="3" w16cid:durableId="1978492850">
    <w:abstractNumId w:val="5"/>
  </w:num>
  <w:num w:numId="4" w16cid:durableId="1890416001">
    <w:abstractNumId w:val="4"/>
  </w:num>
  <w:num w:numId="5" w16cid:durableId="1044672355">
    <w:abstractNumId w:val="3"/>
  </w:num>
  <w:num w:numId="6" w16cid:durableId="808397163">
    <w:abstractNumId w:val="0"/>
  </w:num>
  <w:num w:numId="7" w16cid:durableId="1224829788">
    <w:abstractNumId w:val="7"/>
  </w:num>
  <w:num w:numId="8" w16cid:durableId="1296644228">
    <w:abstractNumId w:val="8"/>
  </w:num>
  <w:num w:numId="9" w16cid:durableId="90123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7C57"/>
    <w:rsid w:val="00010D7D"/>
    <w:rsid w:val="000160BD"/>
    <w:rsid w:val="000167D1"/>
    <w:rsid w:val="00020043"/>
    <w:rsid w:val="00022B72"/>
    <w:rsid w:val="00026881"/>
    <w:rsid w:val="000306E0"/>
    <w:rsid w:val="00030CBC"/>
    <w:rsid w:val="00032A45"/>
    <w:rsid w:val="000374DD"/>
    <w:rsid w:val="0004000E"/>
    <w:rsid w:val="00046137"/>
    <w:rsid w:val="00051782"/>
    <w:rsid w:val="000536CB"/>
    <w:rsid w:val="000574CD"/>
    <w:rsid w:val="000578C0"/>
    <w:rsid w:val="0006301E"/>
    <w:rsid w:val="0006738E"/>
    <w:rsid w:val="00070921"/>
    <w:rsid w:val="00073A6D"/>
    <w:rsid w:val="00074A6B"/>
    <w:rsid w:val="000753E6"/>
    <w:rsid w:val="00075CD3"/>
    <w:rsid w:val="000771EB"/>
    <w:rsid w:val="00082633"/>
    <w:rsid w:val="000A1580"/>
    <w:rsid w:val="000A1845"/>
    <w:rsid w:val="000A2939"/>
    <w:rsid w:val="000A50E5"/>
    <w:rsid w:val="000B0707"/>
    <w:rsid w:val="000B081D"/>
    <w:rsid w:val="000B0F0C"/>
    <w:rsid w:val="000B1A3F"/>
    <w:rsid w:val="000B5F0E"/>
    <w:rsid w:val="000C15F3"/>
    <w:rsid w:val="000C6FB3"/>
    <w:rsid w:val="000D324F"/>
    <w:rsid w:val="000D49BF"/>
    <w:rsid w:val="000D5CD1"/>
    <w:rsid w:val="000D5FE8"/>
    <w:rsid w:val="000D62A2"/>
    <w:rsid w:val="000E2F5C"/>
    <w:rsid w:val="000E3D0A"/>
    <w:rsid w:val="000E6E40"/>
    <w:rsid w:val="000F1C40"/>
    <w:rsid w:val="000F2C6A"/>
    <w:rsid w:val="00101E92"/>
    <w:rsid w:val="001023A4"/>
    <w:rsid w:val="0012195B"/>
    <w:rsid w:val="0012372F"/>
    <w:rsid w:val="00126C21"/>
    <w:rsid w:val="001302DC"/>
    <w:rsid w:val="001441FD"/>
    <w:rsid w:val="00144B56"/>
    <w:rsid w:val="001505AA"/>
    <w:rsid w:val="00151BE6"/>
    <w:rsid w:val="001539AF"/>
    <w:rsid w:val="00153CFF"/>
    <w:rsid w:val="00155677"/>
    <w:rsid w:val="00156C0C"/>
    <w:rsid w:val="00160FA5"/>
    <w:rsid w:val="00166E6B"/>
    <w:rsid w:val="0018045A"/>
    <w:rsid w:val="00185B6E"/>
    <w:rsid w:val="00190005"/>
    <w:rsid w:val="001911F4"/>
    <w:rsid w:val="00191D4B"/>
    <w:rsid w:val="001920B4"/>
    <w:rsid w:val="001A011D"/>
    <w:rsid w:val="001A632C"/>
    <w:rsid w:val="001A7907"/>
    <w:rsid w:val="001B55D7"/>
    <w:rsid w:val="001C39D3"/>
    <w:rsid w:val="001D13E2"/>
    <w:rsid w:val="001D5521"/>
    <w:rsid w:val="001E01CC"/>
    <w:rsid w:val="001E2D26"/>
    <w:rsid w:val="001E5BD5"/>
    <w:rsid w:val="001E61D7"/>
    <w:rsid w:val="001E626B"/>
    <w:rsid w:val="001F0BD9"/>
    <w:rsid w:val="001F26A9"/>
    <w:rsid w:val="001F4679"/>
    <w:rsid w:val="001F5639"/>
    <w:rsid w:val="001F62E9"/>
    <w:rsid w:val="00201354"/>
    <w:rsid w:val="0021113B"/>
    <w:rsid w:val="0021140D"/>
    <w:rsid w:val="00211FD6"/>
    <w:rsid w:val="0021477B"/>
    <w:rsid w:val="00214D4B"/>
    <w:rsid w:val="00215E32"/>
    <w:rsid w:val="00222CD8"/>
    <w:rsid w:val="0022498C"/>
    <w:rsid w:val="00226084"/>
    <w:rsid w:val="00226F44"/>
    <w:rsid w:val="002275AF"/>
    <w:rsid w:val="0023019E"/>
    <w:rsid w:val="002372A2"/>
    <w:rsid w:val="002438A8"/>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305E"/>
    <w:rsid w:val="002C62E9"/>
    <w:rsid w:val="002D03B9"/>
    <w:rsid w:val="002D2306"/>
    <w:rsid w:val="002D2AC8"/>
    <w:rsid w:val="002D4EB8"/>
    <w:rsid w:val="002D4FAD"/>
    <w:rsid w:val="002D651A"/>
    <w:rsid w:val="002E41AA"/>
    <w:rsid w:val="002E64B7"/>
    <w:rsid w:val="002E7B89"/>
    <w:rsid w:val="002F0485"/>
    <w:rsid w:val="002F35CF"/>
    <w:rsid w:val="002F37D9"/>
    <w:rsid w:val="002F78A8"/>
    <w:rsid w:val="00304E90"/>
    <w:rsid w:val="00305348"/>
    <w:rsid w:val="00305698"/>
    <w:rsid w:val="0032286D"/>
    <w:rsid w:val="00323689"/>
    <w:rsid w:val="00331431"/>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82463"/>
    <w:rsid w:val="003A43F7"/>
    <w:rsid w:val="003B44F2"/>
    <w:rsid w:val="003B513B"/>
    <w:rsid w:val="003C7E9F"/>
    <w:rsid w:val="003E0B11"/>
    <w:rsid w:val="003F517F"/>
    <w:rsid w:val="003F76F3"/>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1F56"/>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143F"/>
    <w:rsid w:val="004D3620"/>
    <w:rsid w:val="004D7A88"/>
    <w:rsid w:val="004E1BC4"/>
    <w:rsid w:val="004E388C"/>
    <w:rsid w:val="004F0B40"/>
    <w:rsid w:val="004F1087"/>
    <w:rsid w:val="004F3F82"/>
    <w:rsid w:val="00502B69"/>
    <w:rsid w:val="005071BC"/>
    <w:rsid w:val="00514DCC"/>
    <w:rsid w:val="00515AF4"/>
    <w:rsid w:val="005215A8"/>
    <w:rsid w:val="00527F2B"/>
    <w:rsid w:val="00531EC3"/>
    <w:rsid w:val="0053637D"/>
    <w:rsid w:val="00536572"/>
    <w:rsid w:val="00540E07"/>
    <w:rsid w:val="00545DA9"/>
    <w:rsid w:val="00550DA1"/>
    <w:rsid w:val="0055181C"/>
    <w:rsid w:val="005537F4"/>
    <w:rsid w:val="00554A51"/>
    <w:rsid w:val="00555B13"/>
    <w:rsid w:val="00557856"/>
    <w:rsid w:val="00563161"/>
    <w:rsid w:val="0056440E"/>
    <w:rsid w:val="005659B7"/>
    <w:rsid w:val="005665F3"/>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E3E78"/>
    <w:rsid w:val="005F0055"/>
    <w:rsid w:val="005F52E1"/>
    <w:rsid w:val="005F61A6"/>
    <w:rsid w:val="006005E6"/>
    <w:rsid w:val="00604394"/>
    <w:rsid w:val="00604421"/>
    <w:rsid w:val="00606B55"/>
    <w:rsid w:val="00611824"/>
    <w:rsid w:val="00612334"/>
    <w:rsid w:val="006143E3"/>
    <w:rsid w:val="006145C8"/>
    <w:rsid w:val="00620786"/>
    <w:rsid w:val="00623937"/>
    <w:rsid w:val="006244B8"/>
    <w:rsid w:val="006264DC"/>
    <w:rsid w:val="00631AEE"/>
    <w:rsid w:val="00632F71"/>
    <w:rsid w:val="00635393"/>
    <w:rsid w:val="0063576D"/>
    <w:rsid w:val="0063620D"/>
    <w:rsid w:val="00642926"/>
    <w:rsid w:val="006430E0"/>
    <w:rsid w:val="00644AD4"/>
    <w:rsid w:val="00645955"/>
    <w:rsid w:val="00647C71"/>
    <w:rsid w:val="00650B35"/>
    <w:rsid w:val="00651518"/>
    <w:rsid w:val="0066719E"/>
    <w:rsid w:val="00667279"/>
    <w:rsid w:val="006675EA"/>
    <w:rsid w:val="006744B1"/>
    <w:rsid w:val="00680312"/>
    <w:rsid w:val="00684A0B"/>
    <w:rsid w:val="00684EE9"/>
    <w:rsid w:val="00687C34"/>
    <w:rsid w:val="00695951"/>
    <w:rsid w:val="00697096"/>
    <w:rsid w:val="006976FF"/>
    <w:rsid w:val="006A1063"/>
    <w:rsid w:val="006A3DA0"/>
    <w:rsid w:val="006A7E71"/>
    <w:rsid w:val="006B640D"/>
    <w:rsid w:val="006B7A87"/>
    <w:rsid w:val="006C20FD"/>
    <w:rsid w:val="006C3524"/>
    <w:rsid w:val="006D12EE"/>
    <w:rsid w:val="006D157D"/>
    <w:rsid w:val="006D6267"/>
    <w:rsid w:val="006D6755"/>
    <w:rsid w:val="006E0A2B"/>
    <w:rsid w:val="006E2A57"/>
    <w:rsid w:val="006F0765"/>
    <w:rsid w:val="006F2E12"/>
    <w:rsid w:val="006F506E"/>
    <w:rsid w:val="006F602A"/>
    <w:rsid w:val="007028A3"/>
    <w:rsid w:val="0071296A"/>
    <w:rsid w:val="00714712"/>
    <w:rsid w:val="00716788"/>
    <w:rsid w:val="007167E9"/>
    <w:rsid w:val="00731D9C"/>
    <w:rsid w:val="00746866"/>
    <w:rsid w:val="00747416"/>
    <w:rsid w:val="00750F91"/>
    <w:rsid w:val="0075231D"/>
    <w:rsid w:val="00754AA5"/>
    <w:rsid w:val="00754F02"/>
    <w:rsid w:val="00757A34"/>
    <w:rsid w:val="007600A0"/>
    <w:rsid w:val="00762104"/>
    <w:rsid w:val="00763A34"/>
    <w:rsid w:val="007641DC"/>
    <w:rsid w:val="00767E9A"/>
    <w:rsid w:val="00770540"/>
    <w:rsid w:val="007723A9"/>
    <w:rsid w:val="00772D99"/>
    <w:rsid w:val="00775668"/>
    <w:rsid w:val="00775A3B"/>
    <w:rsid w:val="00775B86"/>
    <w:rsid w:val="007775DF"/>
    <w:rsid w:val="007839E4"/>
    <w:rsid w:val="007857DD"/>
    <w:rsid w:val="00786FD9"/>
    <w:rsid w:val="007901E9"/>
    <w:rsid w:val="00790531"/>
    <w:rsid w:val="00794062"/>
    <w:rsid w:val="00794F4C"/>
    <w:rsid w:val="007958D6"/>
    <w:rsid w:val="00797963"/>
    <w:rsid w:val="00797E63"/>
    <w:rsid w:val="007A2BB1"/>
    <w:rsid w:val="007A6999"/>
    <w:rsid w:val="007B44ED"/>
    <w:rsid w:val="007B463B"/>
    <w:rsid w:val="007B696B"/>
    <w:rsid w:val="007C1F7F"/>
    <w:rsid w:val="007C263E"/>
    <w:rsid w:val="007C3C5D"/>
    <w:rsid w:val="007C50B3"/>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05C3"/>
    <w:rsid w:val="00821DB8"/>
    <w:rsid w:val="00825C9C"/>
    <w:rsid w:val="0082604B"/>
    <w:rsid w:val="0083227E"/>
    <w:rsid w:val="0083446D"/>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015DC"/>
    <w:rsid w:val="009115F7"/>
    <w:rsid w:val="0091352F"/>
    <w:rsid w:val="00916955"/>
    <w:rsid w:val="00920F60"/>
    <w:rsid w:val="0092399A"/>
    <w:rsid w:val="00934110"/>
    <w:rsid w:val="009377B3"/>
    <w:rsid w:val="00941715"/>
    <w:rsid w:val="00944BFD"/>
    <w:rsid w:val="009518A8"/>
    <w:rsid w:val="00953A10"/>
    <w:rsid w:val="00956B72"/>
    <w:rsid w:val="00960A02"/>
    <w:rsid w:val="00972B9C"/>
    <w:rsid w:val="009814B2"/>
    <w:rsid w:val="00987CDE"/>
    <w:rsid w:val="00993B58"/>
    <w:rsid w:val="00996120"/>
    <w:rsid w:val="009A14FE"/>
    <w:rsid w:val="009B0701"/>
    <w:rsid w:val="009B0B3A"/>
    <w:rsid w:val="009B0C6D"/>
    <w:rsid w:val="009B216A"/>
    <w:rsid w:val="009B2960"/>
    <w:rsid w:val="009B297F"/>
    <w:rsid w:val="009B6D87"/>
    <w:rsid w:val="009C1118"/>
    <w:rsid w:val="009C15FA"/>
    <w:rsid w:val="009C7E28"/>
    <w:rsid w:val="009D3B80"/>
    <w:rsid w:val="009D3FBD"/>
    <w:rsid w:val="009D5071"/>
    <w:rsid w:val="009D51F9"/>
    <w:rsid w:val="009D5D7D"/>
    <w:rsid w:val="009D73E9"/>
    <w:rsid w:val="009E435B"/>
    <w:rsid w:val="009E5F1C"/>
    <w:rsid w:val="009F0509"/>
    <w:rsid w:val="009F2607"/>
    <w:rsid w:val="009F7E37"/>
    <w:rsid w:val="00A01B8C"/>
    <w:rsid w:val="00A0696C"/>
    <w:rsid w:val="00A12291"/>
    <w:rsid w:val="00A1339F"/>
    <w:rsid w:val="00A233AA"/>
    <w:rsid w:val="00A35175"/>
    <w:rsid w:val="00A559CE"/>
    <w:rsid w:val="00A6119C"/>
    <w:rsid w:val="00A61BEE"/>
    <w:rsid w:val="00A730B6"/>
    <w:rsid w:val="00A8064C"/>
    <w:rsid w:val="00A82B31"/>
    <w:rsid w:val="00A8725B"/>
    <w:rsid w:val="00A91602"/>
    <w:rsid w:val="00AA12F7"/>
    <w:rsid w:val="00AC5279"/>
    <w:rsid w:val="00AE125F"/>
    <w:rsid w:val="00AE29C5"/>
    <w:rsid w:val="00AE36A9"/>
    <w:rsid w:val="00AE4473"/>
    <w:rsid w:val="00AE4AB6"/>
    <w:rsid w:val="00AF4457"/>
    <w:rsid w:val="00AF58A2"/>
    <w:rsid w:val="00AF5D83"/>
    <w:rsid w:val="00B0146A"/>
    <w:rsid w:val="00B02B99"/>
    <w:rsid w:val="00B04D8D"/>
    <w:rsid w:val="00B06674"/>
    <w:rsid w:val="00B074EB"/>
    <w:rsid w:val="00B11D12"/>
    <w:rsid w:val="00B20524"/>
    <w:rsid w:val="00B22B59"/>
    <w:rsid w:val="00B22EF2"/>
    <w:rsid w:val="00B3324A"/>
    <w:rsid w:val="00B34A84"/>
    <w:rsid w:val="00B400E7"/>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302E"/>
    <w:rsid w:val="00BD684A"/>
    <w:rsid w:val="00BF033D"/>
    <w:rsid w:val="00C007C7"/>
    <w:rsid w:val="00C02481"/>
    <w:rsid w:val="00C029A5"/>
    <w:rsid w:val="00C0763E"/>
    <w:rsid w:val="00C112E3"/>
    <w:rsid w:val="00C173E7"/>
    <w:rsid w:val="00C306F2"/>
    <w:rsid w:val="00C311EE"/>
    <w:rsid w:val="00C31731"/>
    <w:rsid w:val="00C31E33"/>
    <w:rsid w:val="00C3291B"/>
    <w:rsid w:val="00C3476D"/>
    <w:rsid w:val="00C41024"/>
    <w:rsid w:val="00C54FEF"/>
    <w:rsid w:val="00C625AB"/>
    <w:rsid w:val="00C64FA8"/>
    <w:rsid w:val="00C727D6"/>
    <w:rsid w:val="00C74795"/>
    <w:rsid w:val="00C758D5"/>
    <w:rsid w:val="00C764F8"/>
    <w:rsid w:val="00C7769A"/>
    <w:rsid w:val="00C85038"/>
    <w:rsid w:val="00C86FAB"/>
    <w:rsid w:val="00C8735C"/>
    <w:rsid w:val="00C8769D"/>
    <w:rsid w:val="00C92849"/>
    <w:rsid w:val="00C97D7A"/>
    <w:rsid w:val="00CA57DF"/>
    <w:rsid w:val="00CB0D85"/>
    <w:rsid w:val="00CB1889"/>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025"/>
    <w:rsid w:val="00D43548"/>
    <w:rsid w:val="00D44EA3"/>
    <w:rsid w:val="00D47C54"/>
    <w:rsid w:val="00D51523"/>
    <w:rsid w:val="00D523B2"/>
    <w:rsid w:val="00D62B7D"/>
    <w:rsid w:val="00D741E5"/>
    <w:rsid w:val="00D74F23"/>
    <w:rsid w:val="00D753D8"/>
    <w:rsid w:val="00D810F5"/>
    <w:rsid w:val="00D814D3"/>
    <w:rsid w:val="00D8742E"/>
    <w:rsid w:val="00DA0577"/>
    <w:rsid w:val="00DA4BD2"/>
    <w:rsid w:val="00DA5BFF"/>
    <w:rsid w:val="00DA6FF8"/>
    <w:rsid w:val="00DC0E99"/>
    <w:rsid w:val="00DD43DD"/>
    <w:rsid w:val="00DE0043"/>
    <w:rsid w:val="00DE0ADC"/>
    <w:rsid w:val="00DE1212"/>
    <w:rsid w:val="00DE2739"/>
    <w:rsid w:val="00DF2733"/>
    <w:rsid w:val="00DF4F7C"/>
    <w:rsid w:val="00DF5C71"/>
    <w:rsid w:val="00DF5FEB"/>
    <w:rsid w:val="00E04001"/>
    <w:rsid w:val="00E109CB"/>
    <w:rsid w:val="00E13163"/>
    <w:rsid w:val="00E17110"/>
    <w:rsid w:val="00E32EC6"/>
    <w:rsid w:val="00E40C65"/>
    <w:rsid w:val="00E41DC6"/>
    <w:rsid w:val="00E46924"/>
    <w:rsid w:val="00E46F5F"/>
    <w:rsid w:val="00E544D7"/>
    <w:rsid w:val="00E61DDD"/>
    <w:rsid w:val="00E70EA8"/>
    <w:rsid w:val="00E71385"/>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2172"/>
    <w:rsid w:val="00ED366A"/>
    <w:rsid w:val="00ED3EC0"/>
    <w:rsid w:val="00ED3ED7"/>
    <w:rsid w:val="00ED47AD"/>
    <w:rsid w:val="00ED65FE"/>
    <w:rsid w:val="00ED725B"/>
    <w:rsid w:val="00EF00BF"/>
    <w:rsid w:val="00F008F7"/>
    <w:rsid w:val="00F010CE"/>
    <w:rsid w:val="00F017B0"/>
    <w:rsid w:val="00F0477B"/>
    <w:rsid w:val="00F1798B"/>
    <w:rsid w:val="00F179EC"/>
    <w:rsid w:val="00F205BE"/>
    <w:rsid w:val="00F2142B"/>
    <w:rsid w:val="00F21F1A"/>
    <w:rsid w:val="00F231A4"/>
    <w:rsid w:val="00F355C7"/>
    <w:rsid w:val="00F4269A"/>
    <w:rsid w:val="00F4476F"/>
    <w:rsid w:val="00F46D67"/>
    <w:rsid w:val="00F50730"/>
    <w:rsid w:val="00F5102A"/>
    <w:rsid w:val="00F56BB2"/>
    <w:rsid w:val="00F60064"/>
    <w:rsid w:val="00F60AB3"/>
    <w:rsid w:val="00F718E9"/>
    <w:rsid w:val="00F91413"/>
    <w:rsid w:val="00F933D7"/>
    <w:rsid w:val="00F93E69"/>
    <w:rsid w:val="00F94657"/>
    <w:rsid w:val="00FA110F"/>
    <w:rsid w:val="00FB1209"/>
    <w:rsid w:val="00FB27C5"/>
    <w:rsid w:val="00FB3400"/>
    <w:rsid w:val="00FB4645"/>
    <w:rsid w:val="00FB646C"/>
    <w:rsid w:val="00FC4A1F"/>
    <w:rsid w:val="00FC4AFB"/>
    <w:rsid w:val="00FC6E14"/>
    <w:rsid w:val="00FC6F5C"/>
    <w:rsid w:val="00FD06F7"/>
    <w:rsid w:val="00FD1CB4"/>
    <w:rsid w:val="00FD2AF0"/>
    <w:rsid w:val="00FD33DF"/>
    <w:rsid w:val="00FD39B1"/>
    <w:rsid w:val="00FD4C3E"/>
    <w:rsid w:val="00FD5E88"/>
    <w:rsid w:val="00FD7BDF"/>
    <w:rsid w:val="00FE0FE8"/>
    <w:rsid w:val="00FE36A9"/>
    <w:rsid w:val="00FE5CF9"/>
    <w:rsid w:val="00FE5FF3"/>
    <w:rsid w:val="00FF1230"/>
    <w:rsid w:val="00FF69AB"/>
    <w:rsid w:val="00FF7F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 w:type="paragraph" w:styleId="Reviso">
    <w:name w:val="Revision"/>
    <w:hidden/>
    <w:uiPriority w:val="99"/>
    <w:semiHidden/>
    <w:rsid w:val="009C15FA"/>
    <w:pPr>
      <w:spacing w:after="0" w:line="240" w:lineRule="auto"/>
    </w:pPr>
  </w:style>
  <w:style w:type="character" w:styleId="Refdecomentrio">
    <w:name w:val="annotation reference"/>
    <w:basedOn w:val="Fontepargpadro"/>
    <w:uiPriority w:val="99"/>
    <w:semiHidden/>
    <w:unhideWhenUsed/>
    <w:rsid w:val="009C15FA"/>
    <w:rPr>
      <w:sz w:val="16"/>
      <w:szCs w:val="16"/>
    </w:rPr>
  </w:style>
  <w:style w:type="paragraph" w:styleId="Textodecomentrio">
    <w:name w:val="annotation text"/>
    <w:basedOn w:val="Normal"/>
    <w:link w:val="TextodecomentrioChar"/>
    <w:uiPriority w:val="99"/>
    <w:unhideWhenUsed/>
    <w:rsid w:val="009C15FA"/>
    <w:pPr>
      <w:spacing w:line="240" w:lineRule="auto"/>
    </w:pPr>
    <w:rPr>
      <w:sz w:val="20"/>
      <w:szCs w:val="20"/>
    </w:rPr>
  </w:style>
  <w:style w:type="character" w:customStyle="1" w:styleId="TextodecomentrioChar">
    <w:name w:val="Texto de comentário Char"/>
    <w:basedOn w:val="Fontepargpadro"/>
    <w:link w:val="Textodecomentrio"/>
    <w:uiPriority w:val="99"/>
    <w:rsid w:val="009C15FA"/>
    <w:rPr>
      <w:sz w:val="20"/>
      <w:szCs w:val="20"/>
    </w:rPr>
  </w:style>
  <w:style w:type="paragraph" w:styleId="Assuntodocomentrio">
    <w:name w:val="annotation subject"/>
    <w:basedOn w:val="Textodecomentrio"/>
    <w:next w:val="Textodecomentrio"/>
    <w:link w:val="AssuntodocomentrioChar"/>
    <w:uiPriority w:val="99"/>
    <w:semiHidden/>
    <w:unhideWhenUsed/>
    <w:rsid w:val="009C15FA"/>
    <w:rPr>
      <w:b/>
      <w:bCs/>
    </w:rPr>
  </w:style>
  <w:style w:type="character" w:customStyle="1" w:styleId="AssuntodocomentrioChar">
    <w:name w:val="Assunto do comentário Char"/>
    <w:basedOn w:val="TextodecomentrioChar"/>
    <w:link w:val="Assuntodocomentrio"/>
    <w:uiPriority w:val="99"/>
    <w:semiHidden/>
    <w:rsid w:val="009C15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1001935534">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362783456">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FF045F-601A-4612-B1A1-F2257C416787}">
  <ds:schemaRefs>
    <ds:schemaRef ds:uri="http://schemas.openxmlformats.org/officeDocument/2006/bibliography"/>
  </ds:schemaRefs>
</ds:datastoreItem>
</file>

<file path=customXml/itemProps2.xml><?xml version="1.0" encoding="utf-8"?>
<ds:datastoreItem xmlns:ds="http://schemas.openxmlformats.org/officeDocument/2006/customXml" ds:itemID="{4D9BA9E3-246B-4A5E-97F7-D269E0F63E4B}"/>
</file>

<file path=customXml/itemProps3.xml><?xml version="1.0" encoding="utf-8"?>
<ds:datastoreItem xmlns:ds="http://schemas.openxmlformats.org/officeDocument/2006/customXml" ds:itemID="{1F8F2341-A2C6-4AE6-8D0F-E8C3FDC3B292}"/>
</file>

<file path=customXml/itemProps4.xml><?xml version="1.0" encoding="utf-8"?>
<ds:datastoreItem xmlns:ds="http://schemas.openxmlformats.org/officeDocument/2006/customXml" ds:itemID="{77BBF130-2B69-4BEA-B07E-F61B7E4DD73B}"/>
</file>

<file path=docProps/app.xml><?xml version="1.0" encoding="utf-8"?>
<Properties xmlns="http://schemas.openxmlformats.org/officeDocument/2006/extended-properties" xmlns:vt="http://schemas.openxmlformats.org/officeDocument/2006/docPropsVTypes">
  <Template>Normal</Template>
  <TotalTime>1468</TotalTime>
  <Pages>1</Pages>
  <Words>1261</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31</cp:revision>
  <cp:lastPrinted>2023-02-01T16:46:00Z</cp:lastPrinted>
  <dcterms:created xsi:type="dcterms:W3CDTF">2023-06-15T19:39:00Z</dcterms:created>
  <dcterms:modified xsi:type="dcterms:W3CDTF">2025-03-11T17:58:00Z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313000</vt:r8>
  </property>
</Properties>
</file>