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 w:rsidRPr="00903197">
        <w:rPr>
          <w:b/>
          <w:bCs/>
        </w:rPr>
        <w:t>I - RELATÓRIO</w:t>
      </w:r>
    </w:p>
    <w:p w:rsidR="00103B19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 por</w:t>
      </w:r>
      <w:r w:rsidR="00103B19">
        <w:t xml:space="preserve"> Agnaldo </w:t>
      </w:r>
      <w:proofErr w:type="spellStart"/>
      <w:r w:rsidR="00103B19">
        <w:t>Utuari</w:t>
      </w:r>
      <w:proofErr w:type="spellEnd"/>
      <w:r w:rsidR="00103B19">
        <w:t xml:space="preserve"> Martins Junior em face de </w:t>
      </w:r>
      <w:proofErr w:type="spellStart"/>
      <w:r w:rsidR="00103B19">
        <w:t>Betfair</w:t>
      </w:r>
      <w:proofErr w:type="spellEnd"/>
      <w:r w:rsidR="00103B19">
        <w:t xml:space="preserve"> Brasil Ltda., </w:t>
      </w:r>
      <w:proofErr w:type="spellStart"/>
      <w:r w:rsidR="00103B19">
        <w:t>Okto</w:t>
      </w:r>
      <w:proofErr w:type="spellEnd"/>
      <w:r w:rsidR="00103B19">
        <w:t xml:space="preserve"> Pagamentos Ltda., Rivaldo Vitor Borba Ferreira e Ronaldo </w:t>
      </w:r>
      <w:proofErr w:type="spellStart"/>
      <w:r w:rsidR="00103B19">
        <w:t>Luis</w:t>
      </w:r>
      <w:proofErr w:type="spellEnd"/>
      <w:r w:rsidR="00103B19">
        <w:t xml:space="preserve"> Nazário de Lima, que indeferiu requerimento de tutela de urgência para que a casa de aposta reative a conta do agravante em sua plataforma digital, bem como libere o saldo constante para saque (evento 15.1 – autos de origem).</w:t>
      </w:r>
    </w:p>
    <w:p w:rsidR="00103B19" w:rsidRDefault="00103B19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 o agravante, em apertada síntese, a concessão de eficácia ativa ao recurso, com a imediata concessão da tutela indeferida em primeiro grau (evento 1.1).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103B19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Passa-se, à luz do disposto </w:t>
      </w:r>
      <w:r w:rsidR="00103B19">
        <w:t xml:space="preserve">nos artigos 300 a </w:t>
      </w:r>
      <w:r w:rsidRPr="00903197">
        <w:t xml:space="preserve">artigo 1.019, inciso I, do Código de Processo Civil, e no artigo 182, inciso XXII, do Regimento Interno do Tribunal de Justiça, à análise do requerimento de atribuição de efeito </w:t>
      </w:r>
      <w:r w:rsidR="00103B19">
        <w:t>ativo ao recurso.</w:t>
      </w:r>
    </w:p>
    <w:p w:rsidR="00D72BA8" w:rsidRPr="00903197" w:rsidRDefault="00D72BA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 w:rsidRPr="00903197">
        <w:rPr>
          <w:sz w:val="24"/>
          <w:szCs w:val="24"/>
        </w:rPr>
        <w:t xml:space="preserve">Em que pesem os argumentos deduzidos nas razões do agravo, inexiste demonstração empiricamente verificável de incremento de risco processual, pessoal ou patrimonial como resultado da projeção temporal necessária para a formação do contraditório e submissão da </w:t>
      </w:r>
      <w:r w:rsidRPr="00903197">
        <w:rPr>
          <w:i/>
          <w:iCs/>
          <w:sz w:val="24"/>
          <w:szCs w:val="24"/>
        </w:rPr>
        <w:t xml:space="preserve">quaestio </w:t>
      </w:r>
      <w:r w:rsidRPr="00903197">
        <w:rPr>
          <w:sz w:val="24"/>
          <w:szCs w:val="24"/>
        </w:rPr>
        <w:t>ao colegiado.</w:t>
      </w:r>
    </w:p>
    <w:p w:rsidR="00103B19" w:rsidRDefault="00D72BA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 w:rsidRPr="00903197">
        <w:rPr>
          <w:sz w:val="24"/>
          <w:szCs w:val="24"/>
        </w:rPr>
        <w:t xml:space="preserve">Com efeito, a mera </w:t>
      </w:r>
      <w:r w:rsidR="00103B19">
        <w:rPr>
          <w:sz w:val="24"/>
          <w:szCs w:val="24"/>
        </w:rPr>
        <w:t>perspectiva de obtenção de renda complementar através de apostas virtuais não permite a caracterização de risco de dano grave, de impossível ou difícil reparação.</w:t>
      </w:r>
    </w:p>
    <w:p w:rsidR="00D72BA8" w:rsidRPr="00903197" w:rsidRDefault="00103B19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c</w:t>
      </w:r>
      <w:r w:rsidR="00D72BA8" w:rsidRPr="00903197">
        <w:rPr>
          <w:sz w:val="24"/>
          <w:szCs w:val="24"/>
        </w:rPr>
        <w:t xml:space="preserve">onquanto provisórias e </w:t>
      </w:r>
      <w:r>
        <w:rPr>
          <w:sz w:val="24"/>
          <w:szCs w:val="24"/>
        </w:rPr>
        <w:t>in</w:t>
      </w:r>
      <w:r w:rsidR="00D72BA8" w:rsidRPr="00903197">
        <w:rPr>
          <w:sz w:val="24"/>
          <w:szCs w:val="24"/>
        </w:rPr>
        <w:t>conclusivas as premissas adotadas, não se cogita, nesse momento incipiente do percurso recursal, atribuição de repercussão jurídica incaracterística ao agravo de instrumento.</w:t>
      </w:r>
    </w:p>
    <w:p w:rsidR="006E73AD" w:rsidRDefault="006E73AD" w:rsidP="006E73A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 presente decisão, entrementes, é concebida em estado </w:t>
      </w:r>
      <w:r>
        <w:rPr>
          <w:i/>
        </w:rPr>
        <w:t>rebus sic stantibus</w:t>
      </w:r>
      <w:r>
        <w:t>, passível de alteração pelo colegiado.</w:t>
      </w:r>
    </w:p>
    <w:p w:rsidR="00D72BA8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6E73AD" w:rsidRPr="00903197" w:rsidRDefault="006E73AD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 w:rsidRPr="00903197">
        <w:rPr>
          <w:b/>
          <w:bCs/>
        </w:rPr>
        <w:t>III</w:t>
      </w:r>
      <w:proofErr w:type="spellEnd"/>
      <w:r w:rsidRPr="00903197">
        <w:rPr>
          <w:b/>
          <w:bCs/>
        </w:rPr>
        <w:t xml:space="preserve">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103B19">
        <w:t>indefere-se a antecipação da tutela recursal</w:t>
      </w:r>
      <w:r w:rsidR="00D72BA8" w:rsidRPr="00903197">
        <w:t>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</w:t>
      </w:r>
      <w:r w:rsidR="00103B19">
        <w:t xml:space="preserve">m-se os agravados, </w:t>
      </w:r>
      <w:r w:rsidRPr="00903197">
        <w:t>facultando-se resposta no prazo legal (CPC, art. 1.019, II).</w:t>
      </w:r>
    </w:p>
    <w:p w:rsidR="00DA36D7" w:rsidRPr="00903197" w:rsidRDefault="00103B19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Após, concluam-se os autos.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103B19"/>
    <w:rsid w:val="002A7FA2"/>
    <w:rsid w:val="006E73AD"/>
    <w:rsid w:val="00704CE9"/>
    <w:rsid w:val="00733889"/>
    <w:rsid w:val="00903197"/>
    <w:rsid w:val="00BD3F10"/>
    <w:rsid w:val="00C957C8"/>
    <w:rsid w:val="00D72BA8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ECAC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40E5B-58EF-44AB-AD9E-710DBACA1E42}"/>
</file>

<file path=customXml/itemProps2.xml><?xml version="1.0" encoding="utf-8"?>
<ds:datastoreItem xmlns:ds="http://schemas.openxmlformats.org/officeDocument/2006/customXml" ds:itemID="{FF8FCD9D-5306-404B-B1B9-8B28466E39E3}"/>
</file>

<file path=customXml/itemProps3.xml><?xml version="1.0" encoding="utf-8"?>
<ds:datastoreItem xmlns:ds="http://schemas.openxmlformats.org/officeDocument/2006/customXml" ds:itemID="{E4FC5D62-BEE0-479B-835C-F56EC69F6E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313400</vt:r8>
  </property>
</Properties>
</file>