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182" w:rsidRPr="001B4182" w:rsidRDefault="004864FF" w:rsidP="001B4182">
      <w:pPr>
        <w:spacing w:before="240" w:line="360" w:lineRule="auto"/>
        <w:ind w:firstLine="709"/>
        <w:jc w:val="both"/>
        <w:rPr>
          <w:rFonts w:eastAsiaTheme="minorHAnsi"/>
          <w:b/>
          <w:sz w:val="24"/>
          <w:szCs w:val="24"/>
          <w:lang w:eastAsia="en-US"/>
        </w:rPr>
      </w:pPr>
      <w:bookmarkStart w:id="0" w:name="_GoBack"/>
      <w:r w:rsidRPr="001B4182">
        <w:rPr>
          <w:rFonts w:eastAsiaTheme="minorHAnsi"/>
          <w:b/>
          <w:sz w:val="24"/>
          <w:szCs w:val="24"/>
          <w:lang w:eastAsia="en-US"/>
        </w:rPr>
        <w:t>I</w:t>
      </w:r>
      <w:r w:rsidR="001B4182" w:rsidRPr="001B4182">
        <w:rPr>
          <w:rFonts w:eastAsiaTheme="minorHAnsi"/>
          <w:b/>
          <w:sz w:val="24"/>
          <w:szCs w:val="24"/>
          <w:lang w:eastAsia="en-US"/>
        </w:rPr>
        <w:t xml:space="preserve"> – RELATÓRIO</w:t>
      </w:r>
    </w:p>
    <w:p w:rsidR="001B4182" w:rsidRDefault="001B4182" w:rsidP="001B4182">
      <w:pPr>
        <w:spacing w:before="240" w:line="360" w:lineRule="auto"/>
        <w:ind w:firstLine="709"/>
        <w:jc w:val="both"/>
        <w:rPr>
          <w:rFonts w:eastAsiaTheme="minorHAnsi"/>
          <w:sz w:val="24"/>
          <w:szCs w:val="24"/>
          <w:lang w:eastAsia="en-US"/>
        </w:rPr>
      </w:pPr>
      <w:r>
        <w:rPr>
          <w:rFonts w:eastAsiaTheme="minorHAnsi"/>
          <w:sz w:val="24"/>
          <w:szCs w:val="24"/>
          <w:lang w:eastAsia="en-US"/>
        </w:rPr>
        <w:t>Cuida-se de pedido de atribuição de efeito suspensivo a recurso de apelação, deduzido por Carlos Coelho da Costa – ME em face de Claudete Cordeiro da Luz, tendo como objeto sentença proferida pelo juízo 13ª Vara Cível de Curitiba em ação de despejo cumulada com cobrança de aluguéis (evento 122.1 – autos de origem).</w:t>
      </w:r>
    </w:p>
    <w:p w:rsidR="001B4182" w:rsidRDefault="001B4182" w:rsidP="001B4182">
      <w:pPr>
        <w:spacing w:before="240" w:line="360" w:lineRule="auto"/>
        <w:ind w:firstLine="709"/>
        <w:jc w:val="both"/>
        <w:rPr>
          <w:rFonts w:eastAsiaTheme="minorHAnsi"/>
          <w:sz w:val="24"/>
          <w:szCs w:val="24"/>
          <w:lang w:eastAsia="en-US"/>
        </w:rPr>
      </w:pPr>
      <w:r>
        <w:rPr>
          <w:rFonts w:eastAsiaTheme="minorHAnsi"/>
          <w:sz w:val="24"/>
          <w:szCs w:val="24"/>
          <w:lang w:eastAsia="en-US"/>
        </w:rPr>
        <w:t>Argumenta o requerente, em apertada síntese, significativa probabilidade de provimento do recurso e risco de dano grave de difícil ou impossível reparação como resultado da imediata efetivação da r. sentença (evento 1.1).</w:t>
      </w:r>
    </w:p>
    <w:p w:rsidR="004864FF" w:rsidRDefault="0080753B" w:rsidP="001B4182">
      <w:pPr>
        <w:spacing w:before="240" w:line="360" w:lineRule="auto"/>
        <w:ind w:firstLine="709"/>
        <w:jc w:val="both"/>
        <w:rPr>
          <w:rFonts w:eastAsiaTheme="minorHAnsi"/>
          <w:sz w:val="24"/>
          <w:szCs w:val="24"/>
          <w:lang w:eastAsia="en-US"/>
        </w:rPr>
      </w:pPr>
      <w:r>
        <w:rPr>
          <w:rFonts w:eastAsiaTheme="minorHAnsi"/>
          <w:sz w:val="24"/>
          <w:szCs w:val="24"/>
          <w:lang w:eastAsia="en-US"/>
        </w:rPr>
        <w:t>É o necessário relato.</w:t>
      </w:r>
    </w:p>
    <w:p w:rsidR="001B4182" w:rsidRDefault="001B4182" w:rsidP="001B4182">
      <w:pPr>
        <w:spacing w:before="240" w:line="360" w:lineRule="auto"/>
        <w:ind w:firstLine="709"/>
        <w:jc w:val="both"/>
        <w:rPr>
          <w:rFonts w:eastAsiaTheme="minorHAnsi"/>
          <w:sz w:val="24"/>
          <w:szCs w:val="24"/>
          <w:lang w:eastAsia="en-US"/>
        </w:rPr>
      </w:pPr>
    </w:p>
    <w:p w:rsidR="004864FF" w:rsidRPr="001B4182" w:rsidRDefault="001B4182" w:rsidP="001B4182">
      <w:pPr>
        <w:suppressAutoHyphens w:val="0"/>
        <w:overflowPunct/>
        <w:autoSpaceDN w:val="0"/>
        <w:adjustRightInd w:val="0"/>
        <w:spacing w:before="240" w:line="360" w:lineRule="auto"/>
        <w:ind w:firstLine="709"/>
        <w:jc w:val="both"/>
        <w:textAlignment w:val="auto"/>
        <w:rPr>
          <w:rFonts w:eastAsiaTheme="minorHAnsi"/>
          <w:b/>
          <w:sz w:val="24"/>
          <w:szCs w:val="24"/>
          <w:lang w:eastAsia="en-US"/>
        </w:rPr>
      </w:pPr>
      <w:r w:rsidRPr="001B4182">
        <w:rPr>
          <w:rFonts w:eastAsiaTheme="minorHAnsi"/>
          <w:b/>
          <w:sz w:val="24"/>
          <w:szCs w:val="24"/>
          <w:lang w:eastAsia="en-US"/>
        </w:rPr>
        <w:t>II – FUNDAMENTAÇÃO</w:t>
      </w:r>
    </w:p>
    <w:p w:rsidR="001B4182" w:rsidRDefault="001B4182" w:rsidP="001B4182">
      <w:pPr>
        <w:suppressAutoHyphens w:val="0"/>
        <w:overflowPunct/>
        <w:autoSpaceDN w:val="0"/>
        <w:adjustRightInd w:val="0"/>
        <w:spacing w:before="240" w:line="360" w:lineRule="auto"/>
        <w:ind w:firstLine="709"/>
        <w:jc w:val="both"/>
        <w:textAlignment w:val="auto"/>
        <w:rPr>
          <w:rFonts w:eastAsiaTheme="minorHAnsi"/>
          <w:sz w:val="24"/>
          <w:szCs w:val="24"/>
          <w:lang w:eastAsia="en-US"/>
        </w:rPr>
      </w:pPr>
      <w:r>
        <w:rPr>
          <w:rFonts w:eastAsiaTheme="minorHAnsi"/>
          <w:sz w:val="24"/>
          <w:szCs w:val="24"/>
          <w:lang w:eastAsia="en-US"/>
        </w:rPr>
        <w:t xml:space="preserve">Cinge-se a controvérsia recursal à definição do termo final do período pandêmico, marco de encerramento de desconto de 50% (cinquenta por cento) do aluguel </w:t>
      </w:r>
      <w:r w:rsidR="007978CC">
        <w:rPr>
          <w:rFonts w:eastAsiaTheme="minorHAnsi"/>
          <w:sz w:val="24"/>
          <w:szCs w:val="24"/>
          <w:lang w:eastAsia="en-US"/>
        </w:rPr>
        <w:t>mensal (evento 127.1 – autos de origem).</w:t>
      </w:r>
    </w:p>
    <w:p w:rsidR="001B4182" w:rsidRPr="001B4182" w:rsidRDefault="001B4182" w:rsidP="001B4182">
      <w:pPr>
        <w:suppressAutoHyphens w:val="0"/>
        <w:overflowPunct/>
        <w:autoSpaceDN w:val="0"/>
        <w:adjustRightInd w:val="0"/>
        <w:spacing w:before="240" w:line="360" w:lineRule="auto"/>
        <w:ind w:firstLine="709"/>
        <w:jc w:val="both"/>
        <w:textAlignment w:val="auto"/>
        <w:rPr>
          <w:rFonts w:eastAsiaTheme="minorHAnsi"/>
          <w:sz w:val="24"/>
          <w:szCs w:val="24"/>
          <w:lang w:eastAsia="en-US"/>
        </w:rPr>
      </w:pPr>
      <w:r>
        <w:rPr>
          <w:rFonts w:eastAsiaTheme="minorHAnsi"/>
          <w:sz w:val="24"/>
          <w:szCs w:val="24"/>
          <w:lang w:eastAsia="en-US"/>
        </w:rPr>
        <w:t>A definição desse aspecto determina, no caso dos autos, eventual configuração de inadimplência e consequente rescisão de contrato de locação não comercial.</w:t>
      </w:r>
    </w:p>
    <w:p w:rsidR="001B4182" w:rsidRDefault="00A12D23" w:rsidP="001B4182">
      <w:pPr>
        <w:suppressAutoHyphens w:val="0"/>
        <w:overflowPunct/>
        <w:autoSpaceDN w:val="0"/>
        <w:adjustRightInd w:val="0"/>
        <w:spacing w:before="240" w:line="360" w:lineRule="auto"/>
        <w:ind w:firstLine="709"/>
        <w:jc w:val="both"/>
        <w:textAlignment w:val="auto"/>
        <w:rPr>
          <w:rFonts w:eastAsiaTheme="minorHAnsi"/>
          <w:sz w:val="24"/>
          <w:szCs w:val="24"/>
          <w:lang w:eastAsia="en-US"/>
        </w:rPr>
      </w:pPr>
      <w:r>
        <w:rPr>
          <w:rFonts w:eastAsiaTheme="minorHAnsi"/>
          <w:sz w:val="24"/>
          <w:szCs w:val="24"/>
          <w:lang w:eastAsia="en-US"/>
        </w:rPr>
        <w:t xml:space="preserve">Nesse contexto, a contundência </w:t>
      </w:r>
      <w:r w:rsidR="009E6B4E">
        <w:rPr>
          <w:rFonts w:eastAsiaTheme="minorHAnsi"/>
          <w:sz w:val="24"/>
          <w:szCs w:val="24"/>
          <w:lang w:eastAsia="en-US"/>
        </w:rPr>
        <w:t xml:space="preserve">dos argumentos frente ao conteúdo da relação processual </w:t>
      </w:r>
      <w:r w:rsidR="007978CC">
        <w:rPr>
          <w:rFonts w:eastAsiaTheme="minorHAnsi"/>
          <w:sz w:val="24"/>
          <w:szCs w:val="24"/>
          <w:lang w:eastAsia="en-US"/>
        </w:rPr>
        <w:t xml:space="preserve">denota efetiva satisfação do requisito relativo à relevância da fundamentação. </w:t>
      </w:r>
      <w:r w:rsidR="00AE233E">
        <w:rPr>
          <w:rFonts w:eastAsiaTheme="minorHAnsi"/>
          <w:sz w:val="24"/>
          <w:szCs w:val="24"/>
          <w:lang w:eastAsia="en-US"/>
        </w:rPr>
        <w:t>Da</w:t>
      </w:r>
      <w:r w:rsidR="007978CC">
        <w:rPr>
          <w:rFonts w:eastAsiaTheme="minorHAnsi"/>
          <w:sz w:val="24"/>
          <w:szCs w:val="24"/>
          <w:lang w:eastAsia="en-US"/>
        </w:rPr>
        <w:t xml:space="preserve"> razoabilidade dos argumentos deduzi</w:t>
      </w:r>
      <w:r w:rsidR="00AE233E">
        <w:rPr>
          <w:rFonts w:eastAsiaTheme="minorHAnsi"/>
          <w:sz w:val="24"/>
          <w:szCs w:val="24"/>
          <w:lang w:eastAsia="en-US"/>
        </w:rPr>
        <w:t>dos nas razões de inconformismo exsurge possiblidade de manutenção do vínculo contratual, por consectário, da empresa desenvolvida pelo apelante.</w:t>
      </w:r>
    </w:p>
    <w:p w:rsidR="007978CC" w:rsidRDefault="007978CC" w:rsidP="001B4182">
      <w:pPr>
        <w:suppressAutoHyphens w:val="0"/>
        <w:overflowPunct/>
        <w:autoSpaceDN w:val="0"/>
        <w:adjustRightInd w:val="0"/>
        <w:spacing w:before="240" w:line="360" w:lineRule="auto"/>
        <w:ind w:firstLine="709"/>
        <w:jc w:val="both"/>
        <w:textAlignment w:val="auto"/>
        <w:rPr>
          <w:rFonts w:eastAsiaTheme="minorHAnsi"/>
          <w:sz w:val="24"/>
          <w:szCs w:val="24"/>
          <w:lang w:eastAsia="en-US"/>
        </w:rPr>
      </w:pPr>
      <w:r>
        <w:rPr>
          <w:rFonts w:eastAsiaTheme="minorHAnsi"/>
          <w:sz w:val="24"/>
          <w:szCs w:val="24"/>
          <w:lang w:eastAsia="en-US"/>
        </w:rPr>
        <w:t>O risco de dano grave ou de difícil reparação decorre da eminente afetação da atividade comercial, desenvolvida há mais de seis décadas no mesmo local, consequência de materialização do comando judicial de despejo forçado.</w:t>
      </w:r>
    </w:p>
    <w:p w:rsidR="007978CC" w:rsidRDefault="007978CC" w:rsidP="001B4182">
      <w:pPr>
        <w:suppressAutoHyphens w:val="0"/>
        <w:overflowPunct/>
        <w:autoSpaceDN w:val="0"/>
        <w:adjustRightInd w:val="0"/>
        <w:spacing w:before="240" w:line="360" w:lineRule="auto"/>
        <w:ind w:firstLine="709"/>
        <w:jc w:val="both"/>
        <w:textAlignment w:val="auto"/>
        <w:rPr>
          <w:rFonts w:eastAsiaTheme="minorHAnsi"/>
          <w:sz w:val="24"/>
          <w:szCs w:val="24"/>
          <w:lang w:eastAsia="en-US"/>
        </w:rPr>
      </w:pPr>
      <w:r>
        <w:rPr>
          <w:rFonts w:eastAsiaTheme="minorHAnsi"/>
          <w:sz w:val="24"/>
          <w:szCs w:val="24"/>
          <w:lang w:eastAsia="en-US"/>
        </w:rPr>
        <w:t>Da conjugação desses fatores, infere-se completa satisfação dos requisitos inscritos no artigo 1.012, § 4º, do Código de Processo Civil, impondo-se o deferimento do efeito suspensivo.</w:t>
      </w:r>
    </w:p>
    <w:p w:rsidR="004A7577" w:rsidRDefault="004A7577" w:rsidP="001B4182">
      <w:pPr>
        <w:suppressAutoHyphens w:val="0"/>
        <w:overflowPunct/>
        <w:autoSpaceDN w:val="0"/>
        <w:adjustRightInd w:val="0"/>
        <w:spacing w:before="240" w:line="360" w:lineRule="auto"/>
        <w:ind w:firstLine="709"/>
        <w:jc w:val="both"/>
        <w:textAlignment w:val="auto"/>
        <w:rPr>
          <w:rFonts w:eastAsiaTheme="minorHAnsi"/>
          <w:sz w:val="24"/>
          <w:szCs w:val="24"/>
          <w:lang w:eastAsia="en-US"/>
        </w:rPr>
      </w:pPr>
    </w:p>
    <w:p w:rsidR="001B4182" w:rsidRDefault="001B4182" w:rsidP="001B4182">
      <w:pPr>
        <w:suppressAutoHyphens w:val="0"/>
        <w:overflowPunct/>
        <w:autoSpaceDN w:val="0"/>
        <w:adjustRightInd w:val="0"/>
        <w:spacing w:before="240" w:line="360" w:lineRule="auto"/>
        <w:ind w:firstLine="709"/>
        <w:jc w:val="both"/>
        <w:textAlignment w:val="auto"/>
        <w:rPr>
          <w:rFonts w:eastAsiaTheme="minorHAnsi"/>
          <w:b/>
          <w:sz w:val="24"/>
          <w:szCs w:val="24"/>
          <w:lang w:eastAsia="en-US"/>
        </w:rPr>
      </w:pPr>
      <w:r w:rsidRPr="004A7577">
        <w:rPr>
          <w:rFonts w:eastAsiaTheme="minorHAnsi"/>
          <w:b/>
          <w:sz w:val="24"/>
          <w:szCs w:val="24"/>
          <w:lang w:eastAsia="en-US"/>
        </w:rPr>
        <w:lastRenderedPageBreak/>
        <w:t>III – DECISÃO</w:t>
      </w:r>
    </w:p>
    <w:p w:rsidR="009D01C1" w:rsidRDefault="004A7577" w:rsidP="009D01C1">
      <w:pPr>
        <w:suppressAutoHyphens w:val="0"/>
        <w:overflowPunct/>
        <w:autoSpaceDN w:val="0"/>
        <w:adjustRightInd w:val="0"/>
        <w:spacing w:before="240" w:line="360" w:lineRule="auto"/>
        <w:ind w:firstLine="709"/>
        <w:jc w:val="both"/>
        <w:textAlignment w:val="auto"/>
        <w:rPr>
          <w:rFonts w:eastAsiaTheme="minorHAnsi"/>
          <w:sz w:val="24"/>
          <w:szCs w:val="24"/>
          <w:lang w:eastAsia="en-US"/>
        </w:rPr>
      </w:pPr>
      <w:r>
        <w:rPr>
          <w:rFonts w:eastAsiaTheme="minorHAnsi"/>
          <w:sz w:val="24"/>
          <w:szCs w:val="24"/>
          <w:lang w:eastAsia="en-US"/>
        </w:rPr>
        <w:t xml:space="preserve">Ante o exposto, com fulcro no artigo </w:t>
      </w:r>
      <w:r w:rsidR="009D01C1">
        <w:rPr>
          <w:rFonts w:eastAsiaTheme="minorHAnsi"/>
          <w:sz w:val="24"/>
          <w:szCs w:val="24"/>
          <w:lang w:eastAsia="en-US"/>
        </w:rPr>
        <w:t>1.012, § 4, do Código de Processo Civil, e artigo 182, inciso XXXVI, do Regimento Interno do Tribunal de Justiça do Estado do Paraná, concede-se o efeito suspensivo ao recurso de apelação</w:t>
      </w:r>
      <w:r w:rsidR="00191C92">
        <w:rPr>
          <w:rFonts w:eastAsiaTheme="minorHAnsi"/>
          <w:sz w:val="24"/>
          <w:szCs w:val="24"/>
          <w:lang w:eastAsia="en-US"/>
        </w:rPr>
        <w:t>.</w:t>
      </w:r>
    </w:p>
    <w:p w:rsidR="00191C92" w:rsidRDefault="00191C92" w:rsidP="009D01C1">
      <w:pPr>
        <w:suppressAutoHyphens w:val="0"/>
        <w:overflowPunct/>
        <w:autoSpaceDN w:val="0"/>
        <w:adjustRightInd w:val="0"/>
        <w:spacing w:before="240" w:line="360" w:lineRule="auto"/>
        <w:ind w:firstLine="709"/>
        <w:jc w:val="both"/>
        <w:textAlignment w:val="auto"/>
        <w:rPr>
          <w:rFonts w:eastAsiaTheme="minorHAnsi"/>
          <w:sz w:val="24"/>
          <w:szCs w:val="24"/>
          <w:lang w:eastAsia="en-US"/>
        </w:rPr>
      </w:pPr>
      <w:r>
        <w:rPr>
          <w:rFonts w:eastAsiaTheme="minorHAnsi"/>
          <w:sz w:val="24"/>
          <w:szCs w:val="24"/>
          <w:lang w:eastAsia="en-US"/>
        </w:rPr>
        <w:t>Intimem-se.</w:t>
      </w:r>
    </w:p>
    <w:p w:rsidR="00191C92" w:rsidRDefault="00191C92" w:rsidP="009D01C1">
      <w:pPr>
        <w:suppressAutoHyphens w:val="0"/>
        <w:overflowPunct/>
        <w:autoSpaceDN w:val="0"/>
        <w:adjustRightInd w:val="0"/>
        <w:spacing w:before="240" w:line="360" w:lineRule="auto"/>
        <w:ind w:firstLine="709"/>
        <w:jc w:val="both"/>
        <w:textAlignment w:val="auto"/>
        <w:rPr>
          <w:rFonts w:eastAsiaTheme="minorHAnsi"/>
          <w:i/>
          <w:sz w:val="24"/>
          <w:szCs w:val="24"/>
          <w:lang w:eastAsia="en-US"/>
        </w:rPr>
      </w:pPr>
      <w:r>
        <w:rPr>
          <w:rFonts w:eastAsiaTheme="minorHAnsi"/>
          <w:sz w:val="24"/>
          <w:szCs w:val="24"/>
          <w:lang w:eastAsia="en-US"/>
        </w:rPr>
        <w:t xml:space="preserve">Comunique-se o juízo </w:t>
      </w:r>
      <w:r>
        <w:rPr>
          <w:rFonts w:eastAsiaTheme="minorHAnsi"/>
          <w:i/>
          <w:sz w:val="24"/>
          <w:szCs w:val="24"/>
          <w:lang w:eastAsia="en-US"/>
        </w:rPr>
        <w:t>a quo.</w:t>
      </w:r>
    </w:p>
    <w:p w:rsidR="004A7577" w:rsidRPr="00191C92" w:rsidRDefault="00191C92" w:rsidP="00191C92">
      <w:pPr>
        <w:suppressAutoHyphens w:val="0"/>
        <w:overflowPunct/>
        <w:autoSpaceDN w:val="0"/>
        <w:adjustRightInd w:val="0"/>
        <w:spacing w:before="240" w:line="360" w:lineRule="auto"/>
        <w:ind w:firstLine="709"/>
        <w:jc w:val="both"/>
        <w:textAlignment w:val="auto"/>
        <w:rPr>
          <w:rFonts w:eastAsiaTheme="minorHAnsi"/>
          <w:sz w:val="24"/>
          <w:szCs w:val="24"/>
          <w:lang w:eastAsia="en-US"/>
        </w:rPr>
      </w:pPr>
      <w:r>
        <w:rPr>
          <w:rFonts w:eastAsiaTheme="minorHAnsi"/>
          <w:sz w:val="24"/>
          <w:szCs w:val="24"/>
          <w:lang w:eastAsia="en-US"/>
        </w:rPr>
        <w:t>Oportunamente, arquivem-se.</w:t>
      </w:r>
      <w:bookmarkEnd w:id="0"/>
    </w:p>
    <w:sectPr w:rsidR="004A7577" w:rsidRPr="00191C92" w:rsidSect="004864FF">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A7E" w:rsidRDefault="00E57A7E" w:rsidP="00E57A7E">
      <w:r>
        <w:separator/>
      </w:r>
    </w:p>
  </w:endnote>
  <w:endnote w:type="continuationSeparator" w:id="0">
    <w:p w:rsidR="00E57A7E" w:rsidRDefault="00E57A7E" w:rsidP="00E57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A7E" w:rsidRDefault="00E57A7E" w:rsidP="00E57A7E">
      <w:r>
        <w:separator/>
      </w:r>
    </w:p>
  </w:footnote>
  <w:footnote w:type="continuationSeparator" w:id="0">
    <w:p w:rsidR="00E57A7E" w:rsidRDefault="00E57A7E" w:rsidP="00E57A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CE9"/>
    <w:rsid w:val="00062DDB"/>
    <w:rsid w:val="00132CD6"/>
    <w:rsid w:val="00191C92"/>
    <w:rsid w:val="001B4182"/>
    <w:rsid w:val="003B0C74"/>
    <w:rsid w:val="004864FF"/>
    <w:rsid w:val="004A7577"/>
    <w:rsid w:val="00704CE9"/>
    <w:rsid w:val="007978CC"/>
    <w:rsid w:val="0080753B"/>
    <w:rsid w:val="009D01C1"/>
    <w:rsid w:val="009E6B4E"/>
    <w:rsid w:val="00A12D23"/>
    <w:rsid w:val="00AE233E"/>
    <w:rsid w:val="00B40E92"/>
    <w:rsid w:val="00BD3F10"/>
    <w:rsid w:val="00C64155"/>
    <w:rsid w:val="00DA36D7"/>
    <w:rsid w:val="00E57A7E"/>
    <w:rsid w:val="00F113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172E4"/>
  <w15:chartTrackingRefBased/>
  <w15:docId w15:val="{D3730363-B3BA-4D3E-BDB1-007CEEE3F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6D7"/>
    <w:pPr>
      <w:suppressAutoHyphens/>
      <w:overflowPunct w:val="0"/>
      <w:autoSpaceDE w:val="0"/>
      <w:spacing w:after="0" w:line="240" w:lineRule="auto"/>
      <w:textAlignment w:val="baseline"/>
    </w:pPr>
    <w:rPr>
      <w:rFonts w:ascii="Times New Roman" w:eastAsia="Times New Roman" w:hAnsi="Times New Roman" w:cs="Times New Roman"/>
      <w:sz w:val="20"/>
      <w:szCs w:val="20"/>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fim">
    <w:name w:val="endnote text"/>
    <w:basedOn w:val="Normal"/>
    <w:link w:val="TextodenotadefimChar"/>
    <w:uiPriority w:val="99"/>
    <w:semiHidden/>
    <w:unhideWhenUsed/>
    <w:rsid w:val="00E57A7E"/>
  </w:style>
  <w:style w:type="character" w:customStyle="1" w:styleId="TextodenotadefimChar">
    <w:name w:val="Texto de nota de fim Char"/>
    <w:basedOn w:val="Fontepargpadro"/>
    <w:link w:val="Textodenotadefim"/>
    <w:uiPriority w:val="99"/>
    <w:semiHidden/>
    <w:rsid w:val="00E57A7E"/>
    <w:rPr>
      <w:rFonts w:ascii="Times New Roman" w:eastAsia="Times New Roman" w:hAnsi="Times New Roman" w:cs="Times New Roman"/>
      <w:sz w:val="20"/>
      <w:szCs w:val="20"/>
      <w:lang w:eastAsia="ar-SA"/>
    </w:rPr>
  </w:style>
  <w:style w:type="character" w:styleId="Refdenotadefim">
    <w:name w:val="endnote reference"/>
    <w:basedOn w:val="Fontepargpadro"/>
    <w:uiPriority w:val="99"/>
    <w:semiHidden/>
    <w:unhideWhenUsed/>
    <w:rsid w:val="00E57A7E"/>
    <w:rPr>
      <w:vertAlign w:val="superscript"/>
    </w:rPr>
  </w:style>
  <w:style w:type="paragraph" w:styleId="PargrafodaLista">
    <w:name w:val="List Paragraph"/>
    <w:basedOn w:val="Normal"/>
    <w:uiPriority w:val="34"/>
    <w:qFormat/>
    <w:rsid w:val="00132CD6"/>
    <w:pPr>
      <w:ind w:left="720"/>
      <w:contextualSpacing/>
    </w:pPr>
  </w:style>
  <w:style w:type="paragraph" w:styleId="NormalWeb">
    <w:name w:val="Normal (Web)"/>
    <w:basedOn w:val="Normal"/>
    <w:uiPriority w:val="99"/>
    <w:unhideWhenUsed/>
    <w:rsid w:val="004A7577"/>
    <w:pPr>
      <w:suppressAutoHyphens w:val="0"/>
      <w:overflowPunct/>
      <w:autoSpaceDE/>
      <w:spacing w:before="100" w:beforeAutospacing="1" w:after="100" w:afterAutospacing="1"/>
      <w:textAlignment w:val="auto"/>
    </w:pPr>
    <w:rPr>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4.xml"/><Relationship Id="rId5" Type="http://schemas.openxmlformats.org/officeDocument/2006/relationships/footnotes" Target="footnotes.xm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43BCFF-0B6C-4365-B2D2-BDD20C237C50}">
  <ds:schemaRefs>
    <ds:schemaRef ds:uri="http://schemas.openxmlformats.org/officeDocument/2006/bibliography"/>
  </ds:schemaRefs>
</ds:datastoreItem>
</file>

<file path=customXml/itemProps2.xml><?xml version="1.0" encoding="utf-8"?>
<ds:datastoreItem xmlns:ds="http://schemas.openxmlformats.org/officeDocument/2006/customXml" ds:itemID="{0B9E470C-5984-420B-9D9D-A84BB5F6684F}"/>
</file>

<file path=customXml/itemProps3.xml><?xml version="1.0" encoding="utf-8"?>
<ds:datastoreItem xmlns:ds="http://schemas.openxmlformats.org/officeDocument/2006/customXml" ds:itemID="{7EA487CE-DD3F-48BD-B705-4CB8264B80DE}"/>
</file>

<file path=customXml/itemProps4.xml><?xml version="1.0" encoding="utf-8"?>
<ds:datastoreItem xmlns:ds="http://schemas.openxmlformats.org/officeDocument/2006/customXml" ds:itemID="{9923BA49-7C11-4E93-AF82-8546019F4FE7}"/>
</file>

<file path=docProps/app.xml><?xml version="1.0" encoding="utf-8"?>
<Properties xmlns="http://schemas.openxmlformats.org/officeDocument/2006/extended-properties" xmlns:vt="http://schemas.openxmlformats.org/officeDocument/2006/docPropsVTypes">
  <Template>Normal</Template>
  <TotalTime>186</TotalTime>
  <Pages>2</Pages>
  <Words>314</Words>
  <Characters>1701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4</cp:revision>
  <dcterms:created xsi:type="dcterms:W3CDTF">2023-06-26T17:41:00Z</dcterms:created>
  <dcterms:modified xsi:type="dcterms:W3CDTF">2023-11-20T21:38:00Z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313800</vt:r8>
  </property>
</Properties>
</file>