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bookmarkStart w:id="0" w:name="_GoBack"/>
      <w:r w:rsidRPr="00903197">
        <w:rPr>
          <w:b/>
          <w:bCs/>
        </w:rPr>
        <w:t>I - RELATÓRIO</w:t>
      </w:r>
    </w:p>
    <w:p w:rsidR="00594BFA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 de instrumento interposto por</w:t>
      </w:r>
      <w:r w:rsidR="00594BFA">
        <w:t xml:space="preserve"> Djalma Salles Junior em face de Banco Bradesco S. A., tendo como objeto decisão proferida pelo juízo da Vara Cível de </w:t>
      </w:r>
      <w:proofErr w:type="spellStart"/>
      <w:r w:rsidR="00594BFA">
        <w:t>Carlópolis</w:t>
      </w:r>
      <w:proofErr w:type="spellEnd"/>
      <w:r w:rsidR="00594BFA">
        <w:t xml:space="preserve">, que indeferiu tutela de urgência liminar </w:t>
      </w:r>
      <w:r w:rsidR="00C14BED">
        <w:t>para afastar os efeitos da mora em contrato de mútuo com hipotecária, bem como suspender procedimento extrajudicial de consolidação da propriedade em favor do credo fiduciária (evento 21.1 – autos de origem).</w:t>
      </w:r>
    </w:p>
    <w:p w:rsidR="00594BFA" w:rsidRDefault="0073388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Postula </w:t>
      </w:r>
      <w:r w:rsidR="00594BFA">
        <w:t>o agravante, em apertada síntese, a concessão de efeito recursal ativo, mediante concessão da tutela negada em primeiro grau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Passa-se, à luz do disposto no artigo 1.019, inciso I, do Código de Processo Civil, e no artigo 182, inciso XXII, do Regimento Interno do Tribunal de Justiça, à análise do requerimento de atribuição de </w:t>
      </w:r>
      <w:r w:rsidR="00594BFA">
        <w:t xml:space="preserve">efeito ativo </w:t>
      </w:r>
      <w:r w:rsidRPr="00903197">
        <w:t>ao recurso.</w:t>
      </w:r>
    </w:p>
    <w:p w:rsidR="00594BFA" w:rsidRDefault="002A66D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Para fundamentar sua pretensão de desconstituição da mora em caráter liminar, o agravante afirma serem abusivos os juros remuneratórios contratados, bem como a ilegalidade do método Gauss de capitalização.</w:t>
      </w:r>
    </w:p>
    <w:p w:rsidR="002A66D2" w:rsidRDefault="00D81AC1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</w:t>
      </w:r>
      <w:r w:rsidR="002A66D2">
        <w:t xml:space="preserve"> taxa pactuada</w:t>
      </w:r>
      <w:r>
        <w:t xml:space="preserve"> foi de </w:t>
      </w:r>
      <w:r w:rsidR="002A66D2">
        <w:t>0,98 (noventa e oit</w:t>
      </w:r>
      <w:r>
        <w:t>o décimos por cento), ao passo em que a média de mercado indicada pelo Banco Central – Bacen (evento 1.3 – autos de origem), segundo asserção do próprio recorrente, foi de 0,57% (cinquenta e sete décimos por cento).</w:t>
      </w:r>
    </w:p>
    <w:p w:rsidR="00D81AC1" w:rsidRDefault="00D81AC1" w:rsidP="00D81AC1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Segundo os precedentes desta Corte Paranaense, a constatação de abusividade dos juros, e a consequente revisão contratual pressupõe, em regra geral, </w:t>
      </w:r>
      <w:proofErr w:type="spellStart"/>
      <w:r>
        <w:t>pactuação</w:t>
      </w:r>
      <w:proofErr w:type="spellEnd"/>
      <w:r>
        <w:t xml:space="preserve"> de juros superiores ao dobro da média de mercado.</w:t>
      </w:r>
    </w:p>
    <w:p w:rsidR="00D81AC1" w:rsidRDefault="00D81AC1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Neste sentido:</w:t>
      </w:r>
    </w:p>
    <w:p w:rsidR="001F1A17" w:rsidRDefault="001F1A17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D81AC1" w:rsidRDefault="00D81AC1" w:rsidP="00D81AC1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</w:rPr>
      </w:pPr>
      <w:r w:rsidRPr="00D81AC1">
        <w:rPr>
          <w:sz w:val="20"/>
        </w:rPr>
        <w:lastRenderedPageBreak/>
        <w:t xml:space="preserve">1) DIREITO CIVIL. COMPRA E VENDA DE IMÓVEL COM ALIENAÇÃO FIDUCIÁRIA. JUROS REMUNERATÓRIOS. PERCENTUAL QUE NÃO SUPERA O DOBRO DA TAXA MÉDIA APLICADA PELO BACEN. AUSENTE ABUSIVIDADE. </w:t>
      </w:r>
      <w:proofErr w:type="gramStart"/>
      <w:r w:rsidRPr="00D81AC1">
        <w:rPr>
          <w:sz w:val="20"/>
        </w:rPr>
        <w:t xml:space="preserve">a) </w:t>
      </w:r>
      <w:proofErr w:type="spellStart"/>
      <w:r w:rsidRPr="00D81AC1">
        <w:rPr>
          <w:sz w:val="20"/>
        </w:rPr>
        <w:t>Esta</w:t>
      </w:r>
      <w:proofErr w:type="spellEnd"/>
      <w:proofErr w:type="gramEnd"/>
      <w:r w:rsidRPr="00D81AC1">
        <w:rPr>
          <w:sz w:val="20"/>
        </w:rPr>
        <w:t xml:space="preserve"> 5ª Câmara adotou o entendimento de que existirá abusividade na taxa de juros remuneratórios pactuados em valor superior ao dobro da taxa média do mercado, o que não ocorreu no caso concreto.</w:t>
      </w:r>
      <w:r>
        <w:rPr>
          <w:sz w:val="20"/>
        </w:rPr>
        <w:t xml:space="preserve"> </w:t>
      </w:r>
      <w:proofErr w:type="gramStart"/>
      <w:r w:rsidRPr="00D81AC1">
        <w:rPr>
          <w:sz w:val="20"/>
        </w:rPr>
        <w:t>b) Portanto</w:t>
      </w:r>
      <w:proofErr w:type="gramEnd"/>
      <w:r w:rsidRPr="00D81AC1">
        <w:rPr>
          <w:sz w:val="20"/>
        </w:rPr>
        <w:t>, como</w:t>
      </w:r>
      <w:r>
        <w:rPr>
          <w:sz w:val="20"/>
        </w:rPr>
        <w:t xml:space="preserve"> </w:t>
      </w:r>
      <w:r w:rsidRPr="00D81AC1">
        <w:rPr>
          <w:sz w:val="20"/>
        </w:rPr>
        <w:t>o percentual dos juros previsto no Contrato é inferior</w:t>
      </w:r>
      <w:r>
        <w:rPr>
          <w:sz w:val="20"/>
        </w:rPr>
        <w:t xml:space="preserve"> </w:t>
      </w:r>
      <w:r w:rsidRPr="00D81AC1">
        <w:rPr>
          <w:sz w:val="20"/>
        </w:rPr>
        <w:t>ao dobro da taxa média, não há abusividades. 2) AGRAVO DE INSTRUMENTO A QUE SE DÁ PROVIMENTO.</w:t>
      </w:r>
      <w:r>
        <w:rPr>
          <w:sz w:val="20"/>
        </w:rPr>
        <w:t xml:space="preserve"> </w:t>
      </w:r>
      <w:r w:rsidRPr="00D81AC1">
        <w:rPr>
          <w:sz w:val="20"/>
        </w:rPr>
        <w:t>(</w:t>
      </w:r>
      <w:proofErr w:type="spellStart"/>
      <w:r w:rsidRPr="00D81AC1">
        <w:rPr>
          <w:sz w:val="20"/>
        </w:rPr>
        <w:t>TJPR</w:t>
      </w:r>
      <w:proofErr w:type="spellEnd"/>
      <w:r>
        <w:rPr>
          <w:sz w:val="20"/>
        </w:rPr>
        <w:t xml:space="preserve">. 5ª Câmara Cível. Relator: Desembargador Leonel Cunha. </w:t>
      </w:r>
      <w:r w:rsidRPr="00D81AC1">
        <w:rPr>
          <w:sz w:val="20"/>
        </w:rPr>
        <w:t>0060771-83.2024.8.16.0000</w:t>
      </w:r>
      <w:r>
        <w:rPr>
          <w:sz w:val="20"/>
        </w:rPr>
        <w:t>. Maringá. Data de Julgamento: 07-10-2024).</w:t>
      </w:r>
    </w:p>
    <w:p w:rsidR="001F1A17" w:rsidRDefault="001F1A17" w:rsidP="00D81AC1">
      <w:pPr>
        <w:pStyle w:val="NormalWeb"/>
        <w:spacing w:before="0" w:beforeAutospacing="0" w:after="240" w:afterAutospacing="0" w:line="360" w:lineRule="auto"/>
        <w:ind w:left="2268"/>
        <w:jc w:val="both"/>
        <w:rPr>
          <w:sz w:val="20"/>
        </w:rPr>
      </w:pPr>
    </w:p>
    <w:p w:rsidR="001F1A17" w:rsidRDefault="001F1A17" w:rsidP="001F1A17">
      <w:pPr>
        <w:pStyle w:val="NormalWeb"/>
        <w:spacing w:after="240" w:line="360" w:lineRule="auto"/>
        <w:ind w:left="2268"/>
        <w:jc w:val="both"/>
        <w:rPr>
          <w:sz w:val="20"/>
        </w:rPr>
      </w:pPr>
      <w:r w:rsidRPr="001F1A17">
        <w:rPr>
          <w:sz w:val="20"/>
        </w:rPr>
        <w:t xml:space="preserve">APELAÇÃO CÍVEL – AÇÃO REVISIONAL DE CONTRATO – INSTRUMENTO PARTICULAR DE EMPRÉSTIMO COM PACTO ADJETO DE ALIENAÇÃO FIDUCIÁRIA DE IMÓVEL EM GARANTIA – CÉDULA DE CRÉDITO IMOBILIÁRIO - CAPITALIZAÇÃO DE JUROS - POSSIBILIDADE - CONTRATAÇÃO EXPRESSA – AUSÊNCIA DE ILEGALIDADE – INTELIGÊNCIA DO ART. 28, §1º, I, DA LEI 10.931/2004 – POSSIBILIDADE – TAXA ANUAL SUPERIOR AO DUODÉCUPLO DA TAXA MENSAL – MP 2.170-36/01 – PRESUNÇÃO DE CONSTITUCIONALIDADE - TABELA </w:t>
      </w:r>
      <w:proofErr w:type="spellStart"/>
      <w:r w:rsidRPr="001F1A17">
        <w:rPr>
          <w:sz w:val="20"/>
        </w:rPr>
        <w:t>PRICE</w:t>
      </w:r>
      <w:proofErr w:type="spellEnd"/>
      <w:r w:rsidRPr="001F1A17">
        <w:rPr>
          <w:sz w:val="20"/>
        </w:rPr>
        <w:t xml:space="preserve"> QUE NÃO IMPLICA AUTOMATICAMENTE EM CAPITALIZAÇÃO DE JUROS – PARECER PRODUZIDO UNILATERALMENTE – INADMISSIBILIDADE COMO MEIO ÚNICO DE PROVA – OFENSA AO PRINCÍPIO DO CONTRADITÓRIO – JUROS REMUNERATÓRIOS – TAXA SUPERIOR AO DOBRO DA MÉDIA DE MERCADO – ABUSIVIDADE - REDUÇÃO DO VALOR SUPERIOR A ESSE PATAMAR – REPETIÇÃO DO INDÉBITO DEVIDA, NA FORMA SIMPLES – APURAÇÃO EM SEDE DE LIQUIDAÇÃO DE SENTENÇA – TARIFAS ADMINISTRATIVAS – OFENSA AO PRINCÍPIO DA DIALETICIDADE – RAZÕES RECURSAIS QUE NÃO ESPECIFICARAM OS MOTIVOS PELOS QUAIS A SENTENÇA GUERREADA MERECE REFORMA – REPETIÇÃO DO INDÉBITO EM DOBRO – </w:t>
      </w:r>
      <w:proofErr w:type="spellStart"/>
      <w:r w:rsidRPr="001F1A17">
        <w:rPr>
          <w:sz w:val="20"/>
        </w:rPr>
        <w:t>IMPOSSIBILIADE</w:t>
      </w:r>
      <w:proofErr w:type="spellEnd"/>
      <w:r w:rsidRPr="001F1A17">
        <w:rPr>
          <w:sz w:val="20"/>
        </w:rPr>
        <w:t xml:space="preserve"> – </w:t>
      </w:r>
      <w:proofErr w:type="spellStart"/>
      <w:r w:rsidRPr="001F1A17">
        <w:rPr>
          <w:sz w:val="20"/>
        </w:rPr>
        <w:t>EARESP</w:t>
      </w:r>
      <w:proofErr w:type="spellEnd"/>
      <w:r w:rsidRPr="001F1A17">
        <w:rPr>
          <w:sz w:val="20"/>
        </w:rPr>
        <w:t xml:space="preserve"> 676.608/RS DO STJ – MODULAÇÃO DOS EFEITOS – DATA DO CONTRATO E DÉBITOS COBRADOS ANTES DA PUBLICAÇÃO DO ACÓRDÃO (30/03/2021) – RESTITUIÇÃO NA FORMA SIMPLES -RECURSO PARCIALMENTE CONHECIDO E, NA PARTE CONHECIDA, PARCIALMENTE PROVIDO.</w:t>
      </w:r>
      <w:r>
        <w:rPr>
          <w:sz w:val="20"/>
        </w:rPr>
        <w:t xml:space="preserve"> </w:t>
      </w:r>
      <w:r w:rsidRPr="001F1A17">
        <w:rPr>
          <w:sz w:val="20"/>
        </w:rPr>
        <w:t>(</w:t>
      </w:r>
      <w:proofErr w:type="spellStart"/>
      <w:r w:rsidRPr="001F1A17">
        <w:rPr>
          <w:sz w:val="20"/>
        </w:rPr>
        <w:t>TJPR</w:t>
      </w:r>
      <w:proofErr w:type="spellEnd"/>
      <w:r>
        <w:rPr>
          <w:sz w:val="20"/>
        </w:rPr>
        <w:t xml:space="preserve">. 19ª Câmara Cível. Relator: </w:t>
      </w:r>
      <w:r>
        <w:rPr>
          <w:sz w:val="20"/>
        </w:rPr>
        <w:lastRenderedPageBreak/>
        <w:t xml:space="preserve">Desembargador Domingos José </w:t>
      </w:r>
      <w:proofErr w:type="spellStart"/>
      <w:r>
        <w:rPr>
          <w:sz w:val="20"/>
        </w:rPr>
        <w:t>Perfetto</w:t>
      </w:r>
      <w:proofErr w:type="spellEnd"/>
      <w:r>
        <w:rPr>
          <w:sz w:val="20"/>
        </w:rPr>
        <w:t xml:space="preserve">. </w:t>
      </w:r>
      <w:r w:rsidRPr="001F1A17">
        <w:rPr>
          <w:sz w:val="20"/>
        </w:rPr>
        <w:t>0003569-48.2022.8.16.0056</w:t>
      </w:r>
      <w:r>
        <w:rPr>
          <w:sz w:val="20"/>
        </w:rPr>
        <w:t>. Cambé. Data de Julgamento: 28-02-2024).</w:t>
      </w:r>
    </w:p>
    <w:p w:rsidR="00D81AC1" w:rsidRDefault="00D81AC1" w:rsidP="00D81AC1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1F1A17" w:rsidRDefault="00C14BED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Ademais</w:t>
      </w:r>
      <w:r w:rsidR="00D81AC1">
        <w:rPr>
          <w:sz w:val="24"/>
          <w:szCs w:val="24"/>
        </w:rPr>
        <w:t>, em exame de cognição sumária, é possível aferir que o instrumento da avença discrimina detalhadamente os juros remuneratórios e o custo efetivo total,</w:t>
      </w:r>
      <w:r w:rsidR="001F1A17">
        <w:rPr>
          <w:sz w:val="24"/>
          <w:szCs w:val="24"/>
        </w:rPr>
        <w:t xml:space="preserve"> possibilitando inferência sobre a composição quantitativa do valor devido no período de normalidade contratual.</w:t>
      </w:r>
    </w:p>
    <w:p w:rsidR="001F1A17" w:rsidRDefault="001F1A17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tratando-se de contrato estabelecido com instituição financeira licenciada e havendo prévia indicação da forma de capitalização dos juros, não se verifica evidente ilegalidade no emprego do método Gauss a justificar alteração do quadro jurídico oriundo do primeiro grau.</w:t>
      </w:r>
    </w:p>
    <w:p w:rsidR="001F1A17" w:rsidRDefault="001F1A17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Neste sentido:</w:t>
      </w:r>
    </w:p>
    <w:p w:rsidR="001F1A17" w:rsidRDefault="001F1A17" w:rsidP="00903197">
      <w:pPr>
        <w:spacing w:after="240" w:line="360" w:lineRule="auto"/>
        <w:ind w:firstLine="709"/>
        <w:jc w:val="both"/>
        <w:rPr>
          <w:sz w:val="24"/>
          <w:szCs w:val="24"/>
        </w:rPr>
      </w:pPr>
    </w:p>
    <w:p w:rsidR="00C14BED" w:rsidRDefault="001F1A17" w:rsidP="00C14BED">
      <w:pPr>
        <w:spacing w:after="240" w:line="360" w:lineRule="auto"/>
        <w:ind w:left="2268"/>
        <w:jc w:val="both"/>
        <w:rPr>
          <w:szCs w:val="24"/>
        </w:rPr>
      </w:pPr>
      <w:r w:rsidRPr="001F1A17">
        <w:rPr>
          <w:szCs w:val="24"/>
        </w:rPr>
        <w:t xml:space="preserve">APELAÇÃO CÍVEL. AÇÃO DE REVISÃO DE SALDO DEVEDOR EM CONTRATO PARTICULAR DE COMPRA E VENDA DE IMÓVEL COM PACTO DE ALIENAÇÃO FIDUCIÁRIA EM GARANTIA E OUTRAS AVENÇAS. SENTENÇA DE IMPROCEDÊNCIA. INSURGÊNCIA DA PARTE AUTORA. 1. </w:t>
      </w:r>
      <w:r w:rsidRPr="001F1A17">
        <w:rPr>
          <w:szCs w:val="24"/>
        </w:rPr>
        <w:t>IMPUGNAÇÃO</w:t>
      </w:r>
      <w:r>
        <w:rPr>
          <w:szCs w:val="24"/>
        </w:rPr>
        <w:t xml:space="preserve"> </w:t>
      </w:r>
      <w:r w:rsidRPr="001F1A17">
        <w:rPr>
          <w:szCs w:val="24"/>
        </w:rPr>
        <w:t>EM</w:t>
      </w:r>
      <w:r w:rsidRPr="001F1A17">
        <w:rPr>
          <w:szCs w:val="24"/>
        </w:rPr>
        <w:t xml:space="preserve"> CONTRARRAZÕES RECURSAIS À JUSTIÇA GRATUITA CONCEDIDA À PARTE AUTORA NO DESPACHO INICIAL. AUSÊNCIA DE INSURGÊNCIA NO MOMENTO OPORTUNO, QUAL SEJA, NA CONTESTAÇÃO. MATÉRIA PRECLUSA. ALEGAÇÃO QUE NÃO SE CONHECE. 2.</w:t>
      </w:r>
      <w:r w:rsidR="005240DE">
        <w:rPr>
          <w:szCs w:val="24"/>
        </w:rPr>
        <w:t xml:space="preserve"> ALEGADAS ILEGALIDADES NO CONTRATO, TAIS COMO CAPITALIZAÇÃO DE JUROS E APLICAÇÃO DE TABELA </w:t>
      </w:r>
      <w:proofErr w:type="spellStart"/>
      <w:r w:rsidR="005240DE">
        <w:rPr>
          <w:szCs w:val="24"/>
        </w:rPr>
        <w:t>PRICE</w:t>
      </w:r>
      <w:proofErr w:type="spellEnd"/>
      <w:r w:rsidR="005240DE">
        <w:rPr>
          <w:szCs w:val="24"/>
        </w:rPr>
        <w:t xml:space="preserve"> EM CLÁUSULA CONTRATUAL. INOCORRÊNCIA. VALOR DO IMÓVEL E CONDIÇÕES DE PAGAMENTO LIVREMENTE PACTUADOS ENTRE AS PARTES. TABELA </w:t>
      </w:r>
      <w:proofErr w:type="spellStart"/>
      <w:r w:rsidR="005240DE">
        <w:rPr>
          <w:szCs w:val="24"/>
        </w:rPr>
        <w:t>PRICE</w:t>
      </w:r>
      <w:proofErr w:type="spellEnd"/>
      <w:r w:rsidR="005240DE">
        <w:rPr>
          <w:szCs w:val="24"/>
        </w:rPr>
        <w:t xml:space="preserve"> QUE NÃO IMPLICA NECESSARIAMENTE EM CAPITALIZAÇÃO DE JUROS. PRECEDENTES DESTA CORTE. NULIDADE DE CLÁUSULA CONTRATUAL QUE PREVÊ A CAPITALIZAÇÃO DE JUROS. DESCABIMENTO. PREQUESTIONAMENTO. MATÉRIA DEVIDAMENTE DEBATIDA. SENTENÇA MANTIDA. FIXAÇÃO DE HONORÁRIOS ADVOCATÍCIOS EM SEDE RECURSAL. RECURSO CONHECIDO E NÃO PROVIDO. </w:t>
      </w:r>
      <w:r w:rsidRPr="001F1A17">
        <w:rPr>
          <w:szCs w:val="24"/>
        </w:rPr>
        <w:lastRenderedPageBreak/>
        <w:t>(</w:t>
      </w:r>
      <w:proofErr w:type="spellStart"/>
      <w:r w:rsidRPr="001F1A17">
        <w:rPr>
          <w:szCs w:val="24"/>
        </w:rPr>
        <w:t>TJPR</w:t>
      </w:r>
      <w:proofErr w:type="spellEnd"/>
      <w:r w:rsidR="005240DE">
        <w:rPr>
          <w:szCs w:val="24"/>
        </w:rPr>
        <w:t xml:space="preserve">. </w:t>
      </w:r>
      <w:r w:rsidR="00C14BED">
        <w:rPr>
          <w:szCs w:val="24"/>
        </w:rPr>
        <w:t xml:space="preserve">19ª Câmara Cível. Relator: Luciana Carneiro de Lara. </w:t>
      </w:r>
      <w:r w:rsidRPr="001F1A17">
        <w:rPr>
          <w:szCs w:val="24"/>
        </w:rPr>
        <w:t>0009603-13.2021.8.16.0173</w:t>
      </w:r>
      <w:r w:rsidR="00C14BED">
        <w:rPr>
          <w:szCs w:val="24"/>
        </w:rPr>
        <w:t>. Umuarama. Data de Julgamento: 18-06-2024).</w:t>
      </w:r>
    </w:p>
    <w:p w:rsidR="001F1A17" w:rsidRDefault="001F1A17" w:rsidP="00903197">
      <w:pPr>
        <w:spacing w:after="240" w:line="360" w:lineRule="auto"/>
        <w:ind w:firstLine="709"/>
        <w:jc w:val="both"/>
        <w:rPr>
          <w:sz w:val="24"/>
          <w:szCs w:val="24"/>
        </w:rPr>
      </w:pPr>
    </w:p>
    <w:p w:rsidR="00C14BED" w:rsidRDefault="00C14BED" w:rsidP="00C14BED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Ao arremate, conforme entendimento consagrado no verbete da súmula 380, pelo Superior Tribunal de Justiça, a mera propositura da ação de revisão de contrato não inibe a caracterização da mora.</w:t>
      </w:r>
    </w:p>
    <w:p w:rsidR="00D72BA8" w:rsidRPr="00903197" w:rsidRDefault="001F1A17" w:rsidP="00903197">
      <w:pPr>
        <w:spacing w:after="24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Assim, c</w:t>
      </w:r>
      <w:r w:rsidR="00D72BA8" w:rsidRPr="00903197">
        <w:rPr>
          <w:sz w:val="24"/>
          <w:szCs w:val="24"/>
        </w:rPr>
        <w:t xml:space="preserve">onquanto provisórias e </w:t>
      </w:r>
      <w:r>
        <w:rPr>
          <w:sz w:val="24"/>
          <w:szCs w:val="24"/>
        </w:rPr>
        <w:t>in</w:t>
      </w:r>
      <w:r w:rsidR="00D72BA8" w:rsidRPr="00903197">
        <w:rPr>
          <w:sz w:val="24"/>
          <w:szCs w:val="24"/>
        </w:rPr>
        <w:t xml:space="preserve">conclusivas as premissas </w:t>
      </w:r>
      <w:r>
        <w:rPr>
          <w:sz w:val="24"/>
          <w:szCs w:val="24"/>
        </w:rPr>
        <w:t xml:space="preserve">ora </w:t>
      </w:r>
      <w:r w:rsidR="00D72BA8" w:rsidRPr="00903197">
        <w:rPr>
          <w:sz w:val="24"/>
          <w:szCs w:val="24"/>
        </w:rPr>
        <w:t>adotadas, não se cogita, nesse momento incipiente do percurso recursal, a atribuição de repercussão jurídica incaracterística ao agravo de instrumento.</w:t>
      </w:r>
    </w:p>
    <w:p w:rsidR="006E73AD" w:rsidRDefault="006E73AD" w:rsidP="006E73AD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A presente decisão, entrementes, é concebida em estado </w:t>
      </w:r>
      <w:r>
        <w:rPr>
          <w:i/>
        </w:rPr>
        <w:t>rebus sic stantibus</w:t>
      </w:r>
      <w:r>
        <w:t>, passível de alteração pelo colegiado.</w:t>
      </w:r>
    </w:p>
    <w:p w:rsidR="001F1A17" w:rsidRDefault="001F1A17" w:rsidP="00903197">
      <w:pPr>
        <w:pStyle w:val="NormalWeb"/>
        <w:spacing w:before="0" w:beforeAutospacing="0" w:after="240" w:afterAutospacing="0" w:line="360" w:lineRule="auto"/>
        <w:ind w:firstLine="709"/>
        <w:jc w:val="both"/>
        <w:rPr>
          <w:b/>
          <w:bCs/>
        </w:rPr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proofErr w:type="spellStart"/>
      <w:r w:rsidRPr="00903197">
        <w:rPr>
          <w:b/>
          <w:bCs/>
        </w:rPr>
        <w:t>III</w:t>
      </w:r>
      <w:proofErr w:type="spellEnd"/>
      <w:r w:rsidRPr="00903197">
        <w:rPr>
          <w:b/>
          <w:bCs/>
        </w:rPr>
        <w:t xml:space="preserve">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Ante o exposto, </w:t>
      </w:r>
      <w:r w:rsidR="002A66D2">
        <w:t>indefere-se a antecipação dos efeitos da tutela recursal</w:t>
      </w:r>
      <w:r w:rsidR="00D72BA8" w:rsidRPr="00903197">
        <w:t>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 xml:space="preserve">Comunique-se ao juízo </w:t>
      </w:r>
      <w:r w:rsidRPr="00903197">
        <w:rPr>
          <w:i/>
          <w:iCs/>
        </w:rPr>
        <w:t>a quo</w:t>
      </w:r>
      <w:r w:rsidRPr="00903197">
        <w:t xml:space="preserve"> o teor desta decisão.</w:t>
      </w:r>
    </w:p>
    <w:p w:rsidR="00D72BA8" w:rsidRPr="00903197" w:rsidRDefault="00D72BA8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Intime-se a parte agravada, facultando-se resposta no prazo legal (CPC, art. 1.019, II).</w:t>
      </w:r>
    </w:p>
    <w:p w:rsidR="00DA36D7" w:rsidRPr="00903197" w:rsidRDefault="00C14BED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Após, concluam-se os autos.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1F1A17"/>
    <w:rsid w:val="002A66D2"/>
    <w:rsid w:val="002A7FA2"/>
    <w:rsid w:val="005240DE"/>
    <w:rsid w:val="00594BFA"/>
    <w:rsid w:val="006E73AD"/>
    <w:rsid w:val="00704CE9"/>
    <w:rsid w:val="00733889"/>
    <w:rsid w:val="00903197"/>
    <w:rsid w:val="00BD3F10"/>
    <w:rsid w:val="00C14BED"/>
    <w:rsid w:val="00C957C8"/>
    <w:rsid w:val="00D72BA8"/>
    <w:rsid w:val="00D81AC1"/>
    <w:rsid w:val="00DA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A2F09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EA6CBA-0F51-4175-8B9F-9CD146253679}"/>
</file>

<file path=customXml/itemProps2.xml><?xml version="1.0" encoding="utf-8"?>
<ds:datastoreItem xmlns:ds="http://schemas.openxmlformats.org/officeDocument/2006/customXml" ds:itemID="{1623C63D-5D45-4A2C-B8D6-75AD6DFC311D}"/>
</file>

<file path=customXml/itemProps3.xml><?xml version="1.0" encoding="utf-8"?>
<ds:datastoreItem xmlns:ds="http://schemas.openxmlformats.org/officeDocument/2006/customXml" ds:itemID="{A557CCDE-1A23-4776-B072-04938EB521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960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2024-10-21T22:11:00Z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314800</vt:r8>
  </property>
</Properties>
</file>