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:rsidR="004249F6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733889" w:rsidRPr="00903197">
        <w:t xml:space="preserve"> </w:t>
      </w:r>
      <w:proofErr w:type="spellStart"/>
      <w:r w:rsidR="004249F6">
        <w:t>Facebook</w:t>
      </w:r>
      <w:proofErr w:type="spellEnd"/>
      <w:r w:rsidR="004249F6">
        <w:t xml:space="preserve"> Serviços Online do Brasil Ltda. em face de Bruno Brossard </w:t>
      </w:r>
      <w:proofErr w:type="spellStart"/>
      <w:r w:rsidR="004249F6">
        <w:t>Chagastelles</w:t>
      </w:r>
      <w:proofErr w:type="spellEnd"/>
      <w:r w:rsidR="004249F6">
        <w:t xml:space="preserve"> </w:t>
      </w:r>
      <w:proofErr w:type="spellStart"/>
      <w:r w:rsidR="004249F6">
        <w:t>Varsano</w:t>
      </w:r>
      <w:proofErr w:type="spellEnd"/>
      <w:r w:rsidR="004249F6">
        <w:t>, tendo como decisão proferida pelo juízo da 9ª Vara Cível de Londrina, que rejeitou impugnação a cumprimento de sentença, afastando pretensão de exclusão ou diminuição de multa indutiva (evento 165.1 – autos de origem).</w:t>
      </w:r>
    </w:p>
    <w:p w:rsidR="004249F6" w:rsidRDefault="00CC4C3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 a parte agravante, em síntese, a atribuição de efeito suspensivo, como forma de interromper o prosseguimento da execução pelas multas processuais, até ulterior julgamento colegiado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bookmarkEnd w:id="0"/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 artigo 1.019, inciso I, do Código de Processo Civil, e no artigo 182, inciso XXII, do Regimento Interno do Tribunal de Justiça, à análise do requerimento de atribuição de efeito suspensivo ao recurso.</w:t>
      </w:r>
    </w:p>
    <w:p w:rsidR="00CC4C35" w:rsidRDefault="00CC4C35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Em que pesem os argumentos deduzidos nas razões de agravo, as decisões que instituíram e majoraram a multa indutiva (eventos 57.1 e 77.1 – autos de origem) não foram objeto de recurso, tampouco a sentença que as confirmou (evento 124.1 – autos de origem).</w:t>
      </w:r>
    </w:p>
    <w:p w:rsidR="00CC4C35" w:rsidRDefault="00CC4C35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ao menos em primeira análise, não há probabilidade de provimento do recurso a ensejar concessão de efeito suspensivo, posto que a pretensão recursal confronta com a eficácia preclusiva da coisa julgada (CPC, art. 505).</w:t>
      </w:r>
    </w:p>
    <w:p w:rsidR="00D72BA8" w:rsidRPr="00903197" w:rsidRDefault="00CC4C35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Portanto, conquanto sejam provisórias e inconclusivas </w:t>
      </w:r>
      <w:r w:rsidR="00D72BA8" w:rsidRPr="00903197">
        <w:rPr>
          <w:sz w:val="24"/>
          <w:szCs w:val="24"/>
        </w:rPr>
        <w:t xml:space="preserve">as premissas </w:t>
      </w:r>
      <w:r>
        <w:rPr>
          <w:sz w:val="24"/>
          <w:szCs w:val="24"/>
        </w:rPr>
        <w:t>ora</w:t>
      </w:r>
      <w:r w:rsidR="00D72BA8" w:rsidRPr="00903197">
        <w:rPr>
          <w:sz w:val="24"/>
          <w:szCs w:val="24"/>
        </w:rPr>
        <w:t xml:space="preserve"> adotadas, não se cogita, nesse momento incipiente do percurso recursal, a atribuição de repercussão jurídica incaracterística ao agravo de instrumento.</w:t>
      </w:r>
    </w:p>
    <w:p w:rsidR="006E73AD" w:rsidRDefault="006E73AD" w:rsidP="006E73A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estado </w:t>
      </w:r>
      <w:r>
        <w:rPr>
          <w:i/>
        </w:rPr>
        <w:t>rebus sic stantibus</w:t>
      </w:r>
      <w:r>
        <w:t>, passível de alteração pelo colegiado.</w:t>
      </w:r>
    </w:p>
    <w:p w:rsidR="00CC4C35" w:rsidRDefault="00CC4C3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CC4C35">
        <w:t>indefere-se a concessão do efeito suspensivo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:rsidR="00DA36D7" w:rsidRPr="00903197" w:rsidRDefault="00CC4C3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2A7FA2"/>
    <w:rsid w:val="004249F6"/>
    <w:rsid w:val="006E73AD"/>
    <w:rsid w:val="00704CE9"/>
    <w:rsid w:val="00733889"/>
    <w:rsid w:val="00903197"/>
    <w:rsid w:val="00BD3F10"/>
    <w:rsid w:val="00C957C8"/>
    <w:rsid w:val="00CC4C35"/>
    <w:rsid w:val="00D72BA8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1775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931502-72C9-46A7-85C5-101C25723778}"/>
</file>

<file path=customXml/itemProps2.xml><?xml version="1.0" encoding="utf-8"?>
<ds:datastoreItem xmlns:ds="http://schemas.openxmlformats.org/officeDocument/2006/customXml" ds:itemID="{72E19034-3FFB-42BB-9C1F-7FB2294A6001}"/>
</file>

<file path=customXml/itemProps3.xml><?xml version="1.0" encoding="utf-8"?>
<ds:datastoreItem xmlns:ds="http://schemas.openxmlformats.org/officeDocument/2006/customXml" ds:itemID="{A3052042-3582-4873-8B76-C0561EFEB0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315200</vt:r8>
  </property>
</Properties>
</file>