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423B5" w14:textId="6C765780" w:rsidR="00117C6A" w:rsidRDefault="005F1988" w:rsidP="00B56692">
      <w:pPr>
        <w:spacing w:after="240" w:line="360" w:lineRule="auto"/>
        <w:jc w:val="both"/>
        <w:rPr>
          <w:b/>
          <w:sz w:val="24"/>
          <w:szCs w:val="24"/>
        </w:rPr>
      </w:pPr>
      <w:r w:rsidRPr="00117C6A">
        <w:rPr>
          <w:b/>
          <w:sz w:val="24"/>
          <w:szCs w:val="24"/>
        </w:rPr>
        <w:t>DECISÃO MONOCRÁTICA.</w:t>
      </w:r>
      <w:r w:rsidR="00117C6A">
        <w:rPr>
          <w:b/>
          <w:sz w:val="24"/>
          <w:szCs w:val="24"/>
        </w:rPr>
        <w:t xml:space="preserve"> PROCESSUAL CIVIL. EMBARGOS DE DECLARAÇÃO.</w:t>
      </w:r>
      <w:r w:rsidR="00932DAE">
        <w:rPr>
          <w:b/>
          <w:sz w:val="24"/>
          <w:szCs w:val="24"/>
        </w:rPr>
        <w:t xml:space="preserve"> AGRAVO DE INSTRUMENTO. EFEITO SUSPENSIVO. ABUSIVIDADE CONTRATUAL.</w:t>
      </w:r>
    </w:p>
    <w:p w14:paraId="52EFC25F" w14:textId="77777777" w:rsidR="005F1988" w:rsidRPr="00932DAE" w:rsidRDefault="005F1988" w:rsidP="00B56692">
      <w:pPr>
        <w:spacing w:after="240" w:line="360" w:lineRule="auto"/>
        <w:jc w:val="both"/>
        <w:rPr>
          <w:b/>
          <w:sz w:val="24"/>
          <w:szCs w:val="24"/>
        </w:rPr>
      </w:pPr>
      <w:r w:rsidRPr="00932DAE">
        <w:rPr>
          <w:b/>
          <w:sz w:val="24"/>
          <w:szCs w:val="24"/>
        </w:rPr>
        <w:t>I. CASO EM EXAME</w:t>
      </w:r>
    </w:p>
    <w:p w14:paraId="29B873D5" w14:textId="7EF162E8" w:rsidR="00932DAE" w:rsidRDefault="00932DAE" w:rsidP="00B56692">
      <w:pPr>
        <w:spacing w:after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Embargos de declaração interposto</w:t>
      </w:r>
      <w:r w:rsidR="00237B6E">
        <w:rPr>
          <w:b/>
          <w:sz w:val="24"/>
          <w:szCs w:val="24"/>
        </w:rPr>
        <w:t>s contra decisão unipessoal, que indeferiu atribuição de efeito suspensivo a agravo de instrumento</w:t>
      </w:r>
      <w:r w:rsidR="000844D8">
        <w:rPr>
          <w:b/>
          <w:sz w:val="24"/>
          <w:szCs w:val="24"/>
        </w:rPr>
        <w:t>,</w:t>
      </w:r>
      <w:r w:rsidR="00237B6E">
        <w:rPr>
          <w:b/>
          <w:sz w:val="24"/>
          <w:szCs w:val="24"/>
        </w:rPr>
        <w:t xml:space="preserve"> sob fundamento de inexistência de argumentação correlata.</w:t>
      </w:r>
    </w:p>
    <w:p w14:paraId="5A915D21" w14:textId="77777777" w:rsidR="005F1988" w:rsidRPr="00932DAE" w:rsidRDefault="005F1988" w:rsidP="00B56692">
      <w:pPr>
        <w:spacing w:after="240" w:line="360" w:lineRule="auto"/>
        <w:jc w:val="both"/>
        <w:rPr>
          <w:b/>
          <w:sz w:val="24"/>
          <w:szCs w:val="24"/>
        </w:rPr>
      </w:pPr>
      <w:r w:rsidRPr="00932DAE">
        <w:rPr>
          <w:b/>
          <w:sz w:val="24"/>
          <w:szCs w:val="24"/>
        </w:rPr>
        <w:t>II. QUESTÃO EM DISCUSSÃO</w:t>
      </w:r>
    </w:p>
    <w:p w14:paraId="53F85B8D" w14:textId="1781B76D" w:rsidR="00237B6E" w:rsidRDefault="005F1988" w:rsidP="00B56692">
      <w:pPr>
        <w:spacing w:after="240" w:line="360" w:lineRule="auto"/>
        <w:jc w:val="both"/>
        <w:rPr>
          <w:b/>
          <w:sz w:val="24"/>
          <w:szCs w:val="24"/>
        </w:rPr>
      </w:pPr>
      <w:r w:rsidRPr="00932DAE">
        <w:rPr>
          <w:b/>
          <w:sz w:val="24"/>
          <w:szCs w:val="24"/>
        </w:rPr>
        <w:t>Avaliação d</w:t>
      </w:r>
      <w:r w:rsidR="00237B6E">
        <w:rPr>
          <w:b/>
          <w:sz w:val="24"/>
          <w:szCs w:val="24"/>
        </w:rPr>
        <w:t>e omissão, decorrente da inobservância dos argumentos indicativos do preenchimento dos pressupostos legais para atribuição de efeito suspensivo ao agravo de instrumento pelo relator.</w:t>
      </w:r>
    </w:p>
    <w:p w14:paraId="67C0E178" w14:textId="77777777" w:rsidR="005F1988" w:rsidRPr="00932DAE" w:rsidRDefault="005F1988" w:rsidP="00B56692">
      <w:pPr>
        <w:spacing w:after="240" w:line="360" w:lineRule="auto"/>
        <w:jc w:val="both"/>
        <w:rPr>
          <w:b/>
          <w:sz w:val="24"/>
          <w:szCs w:val="24"/>
        </w:rPr>
      </w:pPr>
      <w:r w:rsidRPr="00932DAE">
        <w:rPr>
          <w:b/>
          <w:sz w:val="24"/>
          <w:szCs w:val="24"/>
        </w:rPr>
        <w:t>III. RAZÕES DE DECIDIR</w:t>
      </w:r>
    </w:p>
    <w:p w14:paraId="02B4AD7E" w14:textId="4F022BB3" w:rsidR="00237B6E" w:rsidRDefault="00237B6E" w:rsidP="00B56692">
      <w:pPr>
        <w:spacing w:after="240"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III.I</w:t>
      </w:r>
      <w:proofErr w:type="spellEnd"/>
      <w:r>
        <w:rPr>
          <w:b/>
          <w:sz w:val="24"/>
          <w:szCs w:val="24"/>
        </w:rPr>
        <w:t>. A ausência de pronunciamento específico sobre tese capaz de influir na conclusão jurídica configura omissão, passível de colmatação por embargos de declaração.</w:t>
      </w:r>
    </w:p>
    <w:p w14:paraId="2ECD750B" w14:textId="3F51F2FF" w:rsidR="00237B6E" w:rsidRDefault="00237B6E" w:rsidP="00B56692">
      <w:pPr>
        <w:spacing w:after="240"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III.II</w:t>
      </w:r>
      <w:proofErr w:type="spellEnd"/>
      <w:r>
        <w:rPr>
          <w:b/>
          <w:sz w:val="24"/>
          <w:szCs w:val="24"/>
        </w:rPr>
        <w:t>. Presentes, simultaneamente, a probabilidade de provimento do recurso e o risco de dano grave, como resultado da imediata eficácia da decisão recorrida, admite-se a atribuição de efeito suspensivo ao agravo de instrumento.</w:t>
      </w:r>
    </w:p>
    <w:p w14:paraId="44B8DB48" w14:textId="77777777" w:rsidR="005F1988" w:rsidRPr="00932DAE" w:rsidRDefault="005F1988" w:rsidP="00B56692">
      <w:pPr>
        <w:spacing w:after="240" w:line="360" w:lineRule="auto"/>
        <w:jc w:val="both"/>
        <w:rPr>
          <w:b/>
          <w:sz w:val="24"/>
          <w:szCs w:val="24"/>
        </w:rPr>
      </w:pPr>
      <w:r w:rsidRPr="00932DAE">
        <w:rPr>
          <w:b/>
          <w:sz w:val="24"/>
          <w:szCs w:val="24"/>
        </w:rPr>
        <w:t>IV. SOLUÇÃO DO CASO</w:t>
      </w:r>
    </w:p>
    <w:p w14:paraId="02C128CF" w14:textId="77777777" w:rsidR="005F1988" w:rsidRPr="00932DAE" w:rsidRDefault="005F1988" w:rsidP="00B56692">
      <w:pPr>
        <w:spacing w:after="240" w:line="360" w:lineRule="auto"/>
        <w:jc w:val="both"/>
        <w:rPr>
          <w:b/>
          <w:sz w:val="24"/>
          <w:szCs w:val="24"/>
        </w:rPr>
      </w:pPr>
      <w:r w:rsidRPr="00932DAE">
        <w:rPr>
          <w:b/>
          <w:sz w:val="24"/>
          <w:szCs w:val="24"/>
        </w:rPr>
        <w:t>Recurso conhecido e provido.</w:t>
      </w:r>
    </w:p>
    <w:p w14:paraId="474743E6" w14:textId="77777777" w:rsidR="005F1988" w:rsidRDefault="005F1988" w:rsidP="00B56692">
      <w:pPr>
        <w:spacing w:after="240" w:line="360" w:lineRule="auto"/>
        <w:jc w:val="both"/>
        <w:rPr>
          <w:b/>
          <w:sz w:val="24"/>
          <w:szCs w:val="24"/>
        </w:rPr>
      </w:pPr>
      <w:r w:rsidRPr="00932DAE">
        <w:rPr>
          <w:b/>
          <w:sz w:val="24"/>
          <w:szCs w:val="24"/>
        </w:rPr>
        <w:t>V. JURISPRUDÊNCIA E LEGISLAÇÃO UTILIZADAS</w:t>
      </w:r>
    </w:p>
    <w:p w14:paraId="3467AD64" w14:textId="661CEC30" w:rsidR="00237B6E" w:rsidRPr="00932DAE" w:rsidRDefault="00237B6E" w:rsidP="00B56692">
      <w:pPr>
        <w:spacing w:after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V.I. JURISPRUDÊNCIA</w:t>
      </w:r>
    </w:p>
    <w:p w14:paraId="2880EDDA" w14:textId="2122A0E6" w:rsidR="00237B6E" w:rsidRPr="00DE7EC4" w:rsidRDefault="00237B6E" w:rsidP="00B56692">
      <w:pPr>
        <w:spacing w:after="240" w:line="360" w:lineRule="auto"/>
        <w:jc w:val="both"/>
        <w:rPr>
          <w:b/>
          <w:bCs/>
          <w:sz w:val="24"/>
          <w:szCs w:val="24"/>
        </w:rPr>
      </w:pPr>
      <w:proofErr w:type="spellStart"/>
      <w:r w:rsidRPr="00DE7EC4">
        <w:rPr>
          <w:b/>
          <w:bCs/>
          <w:sz w:val="24"/>
          <w:szCs w:val="24"/>
        </w:rPr>
        <w:t>TJPR</w:t>
      </w:r>
      <w:proofErr w:type="spellEnd"/>
      <w:r w:rsidRPr="00DE7EC4">
        <w:rPr>
          <w:b/>
          <w:bCs/>
          <w:sz w:val="24"/>
          <w:szCs w:val="24"/>
        </w:rPr>
        <w:t>. 4ª Câmara Cível. Relatora: Desembargadora Maria Aparecida Blanco de Lima. 0084315-03.2024.8.16.0000. Teixeira Soares. Data de julgamento: 02-12-2024.</w:t>
      </w:r>
    </w:p>
    <w:p w14:paraId="086E03E3" w14:textId="334043E6" w:rsidR="00237B6E" w:rsidRDefault="00237B6E" w:rsidP="00B56692">
      <w:pPr>
        <w:spacing w:after="240"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V.II</w:t>
      </w:r>
      <w:proofErr w:type="spellEnd"/>
      <w:r>
        <w:rPr>
          <w:b/>
          <w:sz w:val="24"/>
          <w:szCs w:val="24"/>
        </w:rPr>
        <w:t>. LEGISLAÇÃO</w:t>
      </w:r>
    </w:p>
    <w:p w14:paraId="295E48FB" w14:textId="4E514B57" w:rsidR="00237B6E" w:rsidRDefault="00DE7EC4" w:rsidP="00B56692">
      <w:pPr>
        <w:spacing w:after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Código de Processo Civil: art. 995, parágrafo único; art. 1.015, I; art. 1.022; art. 1.024, §2º.</w:t>
      </w:r>
    </w:p>
    <w:p w14:paraId="409B75E8" w14:textId="364E26AE" w:rsidR="00DE7EC4" w:rsidRDefault="00DE7EC4" w:rsidP="00B56692">
      <w:pPr>
        <w:spacing w:after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Regimento Interno do Tribunal de Justiça do Estado do Paraná: art. 182, XXII e </w:t>
      </w:r>
      <w:proofErr w:type="spellStart"/>
      <w:r>
        <w:rPr>
          <w:b/>
          <w:sz w:val="24"/>
          <w:szCs w:val="24"/>
        </w:rPr>
        <w:t>XXXIX</w:t>
      </w:r>
      <w:proofErr w:type="spellEnd"/>
      <w:r>
        <w:rPr>
          <w:b/>
          <w:sz w:val="24"/>
          <w:szCs w:val="24"/>
        </w:rPr>
        <w:t>.</w:t>
      </w:r>
    </w:p>
    <w:p w14:paraId="1F4B0751" w14:textId="77777777" w:rsidR="005F1988" w:rsidRDefault="005F1988" w:rsidP="000844D8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</w:p>
    <w:p w14:paraId="5D15A65A" w14:textId="41E8E94D" w:rsidR="007C1295" w:rsidRDefault="007C1295" w:rsidP="000844D8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I – RELATÓRIO</w:t>
      </w:r>
    </w:p>
    <w:p w14:paraId="32E8A5B1" w14:textId="42D5D8C2" w:rsidR="000D4011" w:rsidRDefault="004864FF" w:rsidP="000844D8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4864FF">
        <w:rPr>
          <w:rFonts w:eastAsiaTheme="minorHAnsi"/>
          <w:sz w:val="24"/>
          <w:szCs w:val="24"/>
          <w:lang w:eastAsia="en-US"/>
        </w:rPr>
        <w:t xml:space="preserve">Cuida-se de </w:t>
      </w:r>
      <w:r w:rsidR="000D4011">
        <w:rPr>
          <w:rFonts w:eastAsiaTheme="minorHAnsi"/>
          <w:sz w:val="24"/>
          <w:szCs w:val="24"/>
          <w:lang w:eastAsia="en-US"/>
        </w:rPr>
        <w:t xml:space="preserve">embargos de declaração </w:t>
      </w:r>
      <w:r w:rsidR="000844D8">
        <w:rPr>
          <w:rFonts w:eastAsiaTheme="minorHAnsi"/>
          <w:sz w:val="24"/>
          <w:szCs w:val="24"/>
          <w:lang w:eastAsia="en-US"/>
        </w:rPr>
        <w:t>inter</w:t>
      </w:r>
      <w:r w:rsidR="000D4011">
        <w:rPr>
          <w:rFonts w:eastAsiaTheme="minorHAnsi"/>
          <w:sz w:val="24"/>
          <w:szCs w:val="24"/>
          <w:lang w:eastAsia="en-US"/>
        </w:rPr>
        <w:t xml:space="preserve">postos por Cooperativa de Crédito da Região do Sudoeste do Paraná em face de </w:t>
      </w:r>
      <w:proofErr w:type="spellStart"/>
      <w:r w:rsidR="000D4011">
        <w:rPr>
          <w:rFonts w:eastAsiaTheme="minorHAnsi"/>
          <w:sz w:val="24"/>
          <w:szCs w:val="24"/>
          <w:lang w:eastAsia="en-US"/>
        </w:rPr>
        <w:t>Transpar</w:t>
      </w:r>
      <w:proofErr w:type="spellEnd"/>
      <w:r w:rsidR="000D4011">
        <w:rPr>
          <w:rFonts w:eastAsiaTheme="minorHAnsi"/>
          <w:sz w:val="24"/>
          <w:szCs w:val="24"/>
          <w:lang w:eastAsia="en-US"/>
        </w:rPr>
        <w:t xml:space="preserve"> Transportes Rodoviários Ltda., tendo como objeto decisão unipessoal proferida pela 19ª Câmara Cível do Tribunal de Justiça do Estado do Paraná, que indeferiu pedido de atribuição de eficácia suspensiva a agravo de instrumento (evento 10.1 – Ai).</w:t>
      </w:r>
    </w:p>
    <w:p w14:paraId="42779A09" w14:textId="77777777" w:rsidR="000D4011" w:rsidRDefault="000D4011" w:rsidP="000844D8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Sustenta a parte embargante, em síntese, o acometimento da decisão por omissão, decorrente da ausência de enfrentamento dos argumentos indicativos do preenchimento dos requisitos do artigo 995 do Código de Processo Civil (evento 1.1).</w:t>
      </w:r>
    </w:p>
    <w:p w14:paraId="6C5740FF" w14:textId="698F2942" w:rsidR="000D4011" w:rsidRDefault="00494BD0" w:rsidP="000844D8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Nas contrarrazões, a embargada sustentou que a decisão não possui vícios a serem colmatados (evento 14.1).</w:t>
      </w:r>
    </w:p>
    <w:p w14:paraId="3071EBED" w14:textId="015D1E12" w:rsidR="004864FF" w:rsidRDefault="0080753B" w:rsidP="000844D8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É o necessário relato.</w:t>
      </w:r>
    </w:p>
    <w:p w14:paraId="1D74A1F7" w14:textId="77777777" w:rsidR="004864FF" w:rsidRPr="00494BD0" w:rsidRDefault="004864FF" w:rsidP="000844D8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</w:p>
    <w:p w14:paraId="1E76436B" w14:textId="77777777" w:rsidR="007C1295" w:rsidRPr="00494BD0" w:rsidRDefault="007C1295" w:rsidP="000844D8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494BD0">
        <w:rPr>
          <w:rFonts w:eastAsiaTheme="minorHAnsi"/>
          <w:b/>
          <w:bCs/>
          <w:sz w:val="24"/>
          <w:szCs w:val="24"/>
          <w:lang w:eastAsia="en-US"/>
        </w:rPr>
        <w:t>II – FUNDAMENTAÇÃO</w:t>
      </w:r>
    </w:p>
    <w:p w14:paraId="520B6DB3" w14:textId="71DC0786" w:rsidR="000D4011" w:rsidRDefault="00494BD0" w:rsidP="000844D8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494BD0">
        <w:rPr>
          <w:rFonts w:eastAsiaTheme="minorHAnsi"/>
          <w:b/>
          <w:bCs/>
          <w:sz w:val="24"/>
          <w:szCs w:val="24"/>
          <w:lang w:eastAsia="en-US"/>
        </w:rPr>
        <w:t xml:space="preserve">II.I – </w:t>
      </w:r>
      <w:r w:rsidR="000D4011" w:rsidRPr="00494BD0">
        <w:rPr>
          <w:rFonts w:eastAsiaTheme="minorHAnsi"/>
          <w:b/>
          <w:bCs/>
          <w:sz w:val="24"/>
          <w:szCs w:val="24"/>
          <w:lang w:eastAsia="en-US"/>
        </w:rPr>
        <w:t>DO JUÍZO DE ADMISSIBILIDADE</w:t>
      </w:r>
    </w:p>
    <w:p w14:paraId="78423F04" w14:textId="20E96032" w:rsidR="007326CD" w:rsidRPr="007326CD" w:rsidRDefault="007326CD" w:rsidP="000844D8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Satisfeitos os pressupostos de admissibilidade recursal, conhecem-se dos embargos de declaração </w:t>
      </w:r>
      <w:r w:rsidR="000844D8">
        <w:rPr>
          <w:rFonts w:eastAsiaTheme="minorHAnsi"/>
          <w:sz w:val="24"/>
          <w:szCs w:val="24"/>
          <w:lang w:eastAsia="en-US"/>
        </w:rPr>
        <w:t>inter</w:t>
      </w:r>
      <w:r>
        <w:rPr>
          <w:rFonts w:eastAsiaTheme="minorHAnsi"/>
          <w:sz w:val="24"/>
          <w:szCs w:val="24"/>
          <w:lang w:eastAsia="en-US"/>
        </w:rPr>
        <w:t>postos.</w:t>
      </w:r>
    </w:p>
    <w:p w14:paraId="150C9E4A" w14:textId="77777777" w:rsidR="00D2470F" w:rsidRDefault="00D2470F" w:rsidP="000844D8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</w:p>
    <w:p w14:paraId="5B137B27" w14:textId="140B4E5D" w:rsidR="007326CD" w:rsidRDefault="00494BD0" w:rsidP="000844D8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i/>
          <w:iCs/>
          <w:sz w:val="24"/>
          <w:szCs w:val="24"/>
          <w:lang w:eastAsia="en-US"/>
        </w:rPr>
      </w:pPr>
      <w:r w:rsidRPr="00494BD0">
        <w:rPr>
          <w:rFonts w:eastAsiaTheme="minorHAnsi"/>
          <w:b/>
          <w:bCs/>
          <w:sz w:val="24"/>
          <w:szCs w:val="24"/>
          <w:lang w:eastAsia="en-US"/>
        </w:rPr>
        <w:t xml:space="preserve">II.II – </w:t>
      </w:r>
      <w:r w:rsidR="000D4011" w:rsidRPr="00494BD0">
        <w:rPr>
          <w:rFonts w:eastAsiaTheme="minorHAnsi"/>
          <w:b/>
          <w:bCs/>
          <w:sz w:val="24"/>
          <w:szCs w:val="24"/>
          <w:lang w:eastAsia="en-US"/>
        </w:rPr>
        <w:t>DA OMISSÃO</w:t>
      </w:r>
    </w:p>
    <w:p w14:paraId="6C807411" w14:textId="77777777" w:rsidR="00D2470F" w:rsidRDefault="00D2470F" w:rsidP="000844D8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Da análise da decisão embargada, em cotejo com as razões de inconformismo, constata-se que houve omissão em relação aos argumentos relativos aos pressupostos legais para concessão do efeito suspensivo.</w:t>
      </w:r>
    </w:p>
    <w:p w14:paraId="2E8C1B1A" w14:textId="37B78E5C" w:rsidR="00D2470F" w:rsidRDefault="00117C6A" w:rsidP="000844D8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Apesar da inferência negativa, a parte elaborou sobre o tema de maneira expressa (evento 1.1, pág. 5 – Ai).</w:t>
      </w:r>
    </w:p>
    <w:p w14:paraId="64DC27AB" w14:textId="152D642F" w:rsidR="007326CD" w:rsidRDefault="00117C6A" w:rsidP="000844D8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Constatada, pois, omissão relevante, os embargos devem ser acolhidos para a respectiva colmatação, consoante disposto no artigo 1.022 do Código de Processo Civil.</w:t>
      </w:r>
    </w:p>
    <w:p w14:paraId="227494CE" w14:textId="77777777" w:rsidR="00117C6A" w:rsidRPr="00117C6A" w:rsidRDefault="00117C6A" w:rsidP="000844D8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3E8BD3F4" w14:textId="5B39A535" w:rsidR="000D4011" w:rsidRDefault="00494BD0" w:rsidP="000844D8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proofErr w:type="spellStart"/>
      <w:r w:rsidRPr="00494BD0">
        <w:rPr>
          <w:rFonts w:eastAsiaTheme="minorHAnsi"/>
          <w:b/>
          <w:bCs/>
          <w:sz w:val="24"/>
          <w:szCs w:val="24"/>
          <w:lang w:eastAsia="en-US"/>
        </w:rPr>
        <w:t>II.III</w:t>
      </w:r>
      <w:proofErr w:type="spellEnd"/>
      <w:r w:rsidRPr="00494BD0">
        <w:rPr>
          <w:rFonts w:eastAsiaTheme="minorHAnsi"/>
          <w:b/>
          <w:bCs/>
          <w:sz w:val="24"/>
          <w:szCs w:val="24"/>
          <w:lang w:eastAsia="en-US"/>
        </w:rPr>
        <w:t xml:space="preserve"> – </w:t>
      </w:r>
      <w:r w:rsidR="000D4011" w:rsidRPr="00494BD0">
        <w:rPr>
          <w:rFonts w:eastAsiaTheme="minorHAnsi"/>
          <w:b/>
          <w:bCs/>
          <w:sz w:val="24"/>
          <w:szCs w:val="24"/>
          <w:lang w:eastAsia="en-US"/>
        </w:rPr>
        <w:t>DO EFEITO SUSPENSIVO</w:t>
      </w:r>
    </w:p>
    <w:p w14:paraId="1F5986F4" w14:textId="4C0EE081" w:rsidR="00494BD0" w:rsidRDefault="00494BD0" w:rsidP="000844D8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Passa-se, à luz do disposto no</w:t>
      </w:r>
      <w:r w:rsidR="00932DAE">
        <w:t>s</w:t>
      </w:r>
      <w:r w:rsidRPr="00903197">
        <w:t xml:space="preserve"> artigo</w:t>
      </w:r>
      <w:r w:rsidR="00932DAE">
        <w:t>s 995 e</w:t>
      </w:r>
      <w:r w:rsidRPr="00903197">
        <w:t xml:space="preserve"> 1.019, inciso I, do Código de Processo Civil, e no artigo 182, inciso XXII, do Regimento Interno do Tribunal de Justiça, à análise do requerimento de atribuição de efeito suspensivo ao recurso</w:t>
      </w:r>
      <w:r w:rsidR="007326CD">
        <w:t xml:space="preserve"> originário</w:t>
      </w:r>
      <w:r>
        <w:t>.</w:t>
      </w:r>
    </w:p>
    <w:p w14:paraId="01A2230E" w14:textId="341C3036" w:rsidR="007326CD" w:rsidRDefault="00932DAE" w:rsidP="000844D8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Cinge-se a controvérsia </w:t>
      </w:r>
      <w:r w:rsidR="00C04145">
        <w:t xml:space="preserve">recursal à pretensão de reexame de decisão que sobrestou ordem liminar de busca e apreensão, ao fundamento de aparente abusividade contratual </w:t>
      </w:r>
      <w:r w:rsidR="000844D8">
        <w:t xml:space="preserve">deduzida </w:t>
      </w:r>
      <w:r w:rsidR="00C04145">
        <w:t>a partir de hipotética exorbitância do saldo devedor.</w:t>
      </w:r>
    </w:p>
    <w:p w14:paraId="425B1753" w14:textId="237D564C" w:rsidR="00C04145" w:rsidRDefault="009A632D" w:rsidP="000844D8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A</w:t>
      </w:r>
      <w:r w:rsidR="00552323">
        <w:t xml:space="preserve"> constatação de abusividade, no caso concreto, decorre de mera conjectura. Não houve incursão cognitiva aprofundada, realizada mediante comparativo da taxa aplicada ao contrato à média de mercado.</w:t>
      </w:r>
    </w:p>
    <w:p w14:paraId="1B7F00D9" w14:textId="29C0E404" w:rsidR="00552323" w:rsidRDefault="00552323" w:rsidP="000844D8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Sobre o tema:</w:t>
      </w:r>
    </w:p>
    <w:p w14:paraId="31E6FC29" w14:textId="77777777" w:rsidR="009A632D" w:rsidRDefault="009A632D" w:rsidP="000844D8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14:paraId="55FC7B51" w14:textId="25D93CB9" w:rsidR="009A632D" w:rsidRDefault="009A632D" w:rsidP="000844D8">
      <w:pPr>
        <w:pStyle w:val="NormalWeb"/>
        <w:spacing w:before="0" w:beforeAutospacing="0" w:after="240" w:afterAutospacing="0" w:line="360" w:lineRule="auto"/>
        <w:ind w:left="2268"/>
        <w:jc w:val="both"/>
        <w:rPr>
          <w:sz w:val="20"/>
          <w:szCs w:val="20"/>
        </w:rPr>
      </w:pPr>
      <w:r w:rsidRPr="009A632D">
        <w:rPr>
          <w:sz w:val="20"/>
          <w:szCs w:val="20"/>
        </w:rPr>
        <w:t xml:space="preserve">AGRAVO INTERNO. DECISÃO QUE INDEFERIU O PEDIDO DE ATRIBUIÇÃO DE EFEITO SUSPENSIVO NO AGRAVO DE INSTRUMENTO. AÇÃO DE BUSCA E APREENSÃO. MAQUINÁRIOS AGRÍCOLAS. ALEGAÇÃO DE ESSENCIALIDADE DOS BENS APREENDIDOS PARA A ATIVIDADE PRODUTIVA. NÃO COMPROVAÇÃO DA IMPOSSIBILIDADE ABSOLUTA DE SUBSTITUIÇÃO OU CONTINUIDADE DAS ATIVIDADES. MORA DEVIDAMENTE CONSTITUÍDA. NOTIFICAÇÃO ENCAMINHADA AO ENDEREÇO CONTRATUAL, NOS TERMOS DO ARTIGO 2.º, § 2.º, DO DECRETO-LEI N. 911/69. </w:t>
      </w:r>
      <w:r w:rsidRPr="00552323">
        <w:rPr>
          <w:b/>
          <w:bCs/>
          <w:sz w:val="20"/>
          <w:szCs w:val="20"/>
        </w:rPr>
        <w:t xml:space="preserve">ALEGAÇÕES GENÉRICAS DE ABUSIVIDADE DOS ENCARGOS CONTRATUAIS QUE NÃO AUTORIZAM O AFASTAMENTO DA MORA SEM ANÁLISE APROFUNDADA. PRECEDENTES DO STJ E </w:t>
      </w:r>
      <w:proofErr w:type="spellStart"/>
      <w:r w:rsidRPr="00552323">
        <w:rPr>
          <w:b/>
          <w:bCs/>
          <w:sz w:val="20"/>
          <w:szCs w:val="20"/>
        </w:rPr>
        <w:t>TJPR</w:t>
      </w:r>
      <w:proofErr w:type="spellEnd"/>
      <w:r w:rsidRPr="00552323">
        <w:rPr>
          <w:b/>
          <w:bCs/>
          <w:sz w:val="20"/>
          <w:szCs w:val="20"/>
        </w:rPr>
        <w:t>. ABUSIVIDADE DOS ENCARGOS CONTRATUAIS NÃO COMPROVADA EM SEDE DE COGNIÇÃO SUMÁRIA.</w:t>
      </w:r>
      <w:r w:rsidRPr="009A632D">
        <w:rPr>
          <w:sz w:val="20"/>
          <w:szCs w:val="20"/>
        </w:rPr>
        <w:t xml:space="preserve"> AUSÊNCIA DOS REQUISITOS PARA A CONCESSÃO DO EFEITO SUSPENSIVO. DECISÃO MANTIDA.</w:t>
      </w:r>
      <w:r>
        <w:rPr>
          <w:sz w:val="20"/>
          <w:szCs w:val="20"/>
        </w:rPr>
        <w:t xml:space="preserve"> </w:t>
      </w:r>
      <w:r w:rsidRPr="009A632D">
        <w:rPr>
          <w:sz w:val="20"/>
          <w:szCs w:val="20"/>
        </w:rPr>
        <w:t>RECURSO CONHECIDO E DESPROVIDO.</w:t>
      </w:r>
      <w:r>
        <w:rPr>
          <w:sz w:val="20"/>
          <w:szCs w:val="20"/>
        </w:rPr>
        <w:t xml:space="preserve"> </w:t>
      </w:r>
      <w:r w:rsidRPr="009A632D">
        <w:rPr>
          <w:sz w:val="20"/>
          <w:szCs w:val="20"/>
        </w:rPr>
        <w:t>(</w:t>
      </w:r>
      <w:proofErr w:type="spellStart"/>
      <w:r w:rsidRPr="009A632D">
        <w:rPr>
          <w:sz w:val="20"/>
          <w:szCs w:val="20"/>
        </w:rPr>
        <w:t>TJPR</w:t>
      </w:r>
      <w:proofErr w:type="spellEnd"/>
      <w:r>
        <w:rPr>
          <w:sz w:val="20"/>
          <w:szCs w:val="20"/>
        </w:rPr>
        <w:t xml:space="preserve">. 4ª Câmara Cível. Relatora: Desembargadora Maria Aparecida Blanco de Lima. </w:t>
      </w:r>
      <w:r w:rsidRPr="009A632D">
        <w:rPr>
          <w:sz w:val="20"/>
          <w:szCs w:val="20"/>
        </w:rPr>
        <w:t>0084315-03.2024.8.16.0000</w:t>
      </w:r>
      <w:r>
        <w:rPr>
          <w:sz w:val="20"/>
          <w:szCs w:val="20"/>
        </w:rPr>
        <w:t>.</w:t>
      </w:r>
      <w:r w:rsidRPr="009A632D">
        <w:rPr>
          <w:sz w:val="20"/>
          <w:szCs w:val="20"/>
        </w:rPr>
        <w:t xml:space="preserve"> Teixeira Soares</w:t>
      </w:r>
      <w:r>
        <w:rPr>
          <w:sz w:val="20"/>
          <w:szCs w:val="20"/>
        </w:rPr>
        <w:t>. Data de julgamento: 02-12-2024).</w:t>
      </w:r>
    </w:p>
    <w:p w14:paraId="4311A2A3" w14:textId="77777777" w:rsidR="00C04145" w:rsidRDefault="00C04145" w:rsidP="000844D8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14:paraId="5A29D029" w14:textId="36C068DD" w:rsidR="009A632D" w:rsidRDefault="009A632D" w:rsidP="000844D8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Há, portanto, probabilidade de provimento do recurso, matizada na plausibilidade jurídica da prete</w:t>
      </w:r>
      <w:r w:rsidR="00552323">
        <w:t>n</w:t>
      </w:r>
      <w:r>
        <w:t>são.</w:t>
      </w:r>
    </w:p>
    <w:p w14:paraId="375000EE" w14:textId="71040A72" w:rsidR="00C04145" w:rsidRDefault="00932DAE" w:rsidP="000844D8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O risco de </w:t>
      </w:r>
      <w:r w:rsidR="00C04145">
        <w:t>dano de difícil ou impossível reparação, por sua vez, decorre da possiblidade de depreciação ou de esvaziamento da garantia.</w:t>
      </w:r>
    </w:p>
    <w:p w14:paraId="625E9145" w14:textId="4672942E" w:rsidR="00C04145" w:rsidRDefault="00C04145" w:rsidP="000844D8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Satisfeitos, pois, os requisitos legais, reputa-se devida a concessão do efeito suspensivo, mediante reestabelecimento da decisão liminar concessiva de busca e apreensão.</w:t>
      </w:r>
    </w:p>
    <w:p w14:paraId="407176A3" w14:textId="1EE52479" w:rsidR="00494BD0" w:rsidRPr="00903197" w:rsidRDefault="00494BD0" w:rsidP="000844D8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7326CD">
        <w:t xml:space="preserve">A presente decisão, entrementes, é concebida em estado </w:t>
      </w:r>
      <w:r w:rsidRPr="007326CD">
        <w:rPr>
          <w:i/>
        </w:rPr>
        <w:t>rebus sic stantibus</w:t>
      </w:r>
      <w:r w:rsidRPr="007326CD">
        <w:t>, passível de alteração pelo colegiado.</w:t>
      </w:r>
    </w:p>
    <w:p w14:paraId="64902F6A" w14:textId="77777777" w:rsidR="00494BD0" w:rsidRDefault="00494BD0" w:rsidP="000844D8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sz w:val="24"/>
          <w:szCs w:val="24"/>
          <w:lang w:eastAsia="en-US"/>
        </w:rPr>
      </w:pPr>
    </w:p>
    <w:p w14:paraId="278DB20C" w14:textId="03B57D2F" w:rsidR="007C1295" w:rsidRPr="007C1295" w:rsidRDefault="007C1295" w:rsidP="000844D8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sz w:val="24"/>
          <w:szCs w:val="24"/>
          <w:lang w:eastAsia="en-US"/>
        </w:rPr>
      </w:pPr>
      <w:r w:rsidRPr="007C1295">
        <w:rPr>
          <w:rFonts w:eastAsiaTheme="minorHAnsi"/>
          <w:b/>
          <w:sz w:val="24"/>
          <w:szCs w:val="24"/>
          <w:lang w:eastAsia="en-US"/>
        </w:rPr>
        <w:t>III – DECISÃO</w:t>
      </w:r>
    </w:p>
    <w:p w14:paraId="364B221A" w14:textId="7D9CDDD3" w:rsidR="00494BD0" w:rsidRDefault="004864FF" w:rsidP="000844D8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4864FF">
        <w:rPr>
          <w:rFonts w:eastAsiaTheme="minorHAnsi"/>
          <w:sz w:val="24"/>
          <w:szCs w:val="24"/>
          <w:lang w:eastAsia="en-US"/>
        </w:rPr>
        <w:t>Ante o exposto, com</w:t>
      </w:r>
      <w:r w:rsidR="00494BD0">
        <w:rPr>
          <w:rFonts w:eastAsiaTheme="minorHAnsi"/>
          <w:sz w:val="24"/>
          <w:szCs w:val="24"/>
          <w:lang w:eastAsia="en-US"/>
        </w:rPr>
        <w:t xml:space="preserve"> fundamento no artigo </w:t>
      </w:r>
      <w:r w:rsidR="00117C6A">
        <w:rPr>
          <w:rFonts w:eastAsiaTheme="minorHAnsi"/>
          <w:sz w:val="24"/>
          <w:szCs w:val="24"/>
          <w:lang w:eastAsia="en-US"/>
        </w:rPr>
        <w:t xml:space="preserve">1.024, § 2º, do Código de Processo Civil e no artigo 182, </w:t>
      </w:r>
      <w:proofErr w:type="spellStart"/>
      <w:r w:rsidR="00117C6A">
        <w:rPr>
          <w:rFonts w:eastAsiaTheme="minorHAnsi"/>
          <w:sz w:val="24"/>
          <w:szCs w:val="24"/>
          <w:lang w:eastAsia="en-US"/>
        </w:rPr>
        <w:t>XXXIX</w:t>
      </w:r>
      <w:proofErr w:type="spellEnd"/>
      <w:r w:rsidR="00117C6A">
        <w:rPr>
          <w:rFonts w:eastAsiaTheme="minorHAnsi"/>
          <w:sz w:val="24"/>
          <w:szCs w:val="24"/>
          <w:lang w:eastAsia="en-US"/>
        </w:rPr>
        <w:t xml:space="preserve">, do Regimento Interno do Tribunal de Justiça do Estado do Paraná, </w:t>
      </w:r>
      <w:r w:rsidR="007326CD">
        <w:rPr>
          <w:rFonts w:eastAsiaTheme="minorHAnsi"/>
          <w:sz w:val="24"/>
          <w:szCs w:val="24"/>
          <w:lang w:eastAsia="en-US"/>
        </w:rPr>
        <w:t>julgam-se providos os embargos de declaração</w:t>
      </w:r>
      <w:r w:rsidR="000844D8">
        <w:rPr>
          <w:rFonts w:eastAsiaTheme="minorHAnsi"/>
          <w:sz w:val="24"/>
          <w:szCs w:val="24"/>
          <w:lang w:eastAsia="en-US"/>
        </w:rPr>
        <w:t>,</w:t>
      </w:r>
      <w:r w:rsidR="007326CD">
        <w:rPr>
          <w:rFonts w:eastAsiaTheme="minorHAnsi"/>
          <w:sz w:val="24"/>
          <w:szCs w:val="24"/>
          <w:lang w:eastAsia="en-US"/>
        </w:rPr>
        <w:t xml:space="preserve"> para</w:t>
      </w:r>
      <w:r w:rsidR="000844D8">
        <w:rPr>
          <w:rFonts w:eastAsiaTheme="minorHAnsi"/>
          <w:sz w:val="24"/>
          <w:szCs w:val="24"/>
          <w:lang w:eastAsia="en-US"/>
        </w:rPr>
        <w:t xml:space="preserve"> se</w:t>
      </w:r>
      <w:r w:rsidR="007326CD">
        <w:rPr>
          <w:rFonts w:eastAsiaTheme="minorHAnsi"/>
          <w:sz w:val="24"/>
          <w:szCs w:val="24"/>
          <w:lang w:eastAsia="en-US"/>
        </w:rPr>
        <w:t xml:space="preserve"> deferir a atribuição de efeito suspensivo ao agravo de instrumento interposto pela parte embargante, reestabelecendo-se a vigência da decisão liminar de busca e apreensão.</w:t>
      </w:r>
    </w:p>
    <w:p w14:paraId="110F503C" w14:textId="7F103A04" w:rsidR="007C1295" w:rsidRDefault="004864FF" w:rsidP="000844D8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Publique-se. Intime</w:t>
      </w:r>
      <w:r w:rsidR="00062DDB">
        <w:rPr>
          <w:rFonts w:eastAsiaTheme="minorHAnsi"/>
          <w:sz w:val="24"/>
          <w:szCs w:val="24"/>
          <w:lang w:eastAsia="en-US"/>
        </w:rPr>
        <w:t>m</w:t>
      </w:r>
      <w:r>
        <w:rPr>
          <w:rFonts w:eastAsiaTheme="minorHAnsi"/>
          <w:sz w:val="24"/>
          <w:szCs w:val="24"/>
          <w:lang w:eastAsia="en-US"/>
        </w:rPr>
        <w:t>-se</w:t>
      </w:r>
      <w:r w:rsidR="007326CD">
        <w:rPr>
          <w:rFonts w:eastAsiaTheme="minorHAnsi"/>
          <w:sz w:val="24"/>
          <w:szCs w:val="24"/>
          <w:lang w:eastAsia="en-US"/>
        </w:rPr>
        <w:t>.</w:t>
      </w:r>
    </w:p>
    <w:p w14:paraId="1385BD75" w14:textId="77777777" w:rsidR="004864FF" w:rsidRPr="004864FF" w:rsidRDefault="00062DDB" w:rsidP="000844D8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Oportunamente, arquivem-se os autos.</w:t>
      </w:r>
    </w:p>
    <w:sectPr w:rsidR="004864FF" w:rsidRPr="004864FF" w:rsidSect="004864F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C9BC7B" w14:textId="77777777" w:rsidR="00E57A7E" w:rsidRDefault="00E57A7E" w:rsidP="00E57A7E">
      <w:r>
        <w:separator/>
      </w:r>
    </w:p>
  </w:endnote>
  <w:endnote w:type="continuationSeparator" w:id="0">
    <w:p w14:paraId="64DCF926" w14:textId="77777777" w:rsidR="00E57A7E" w:rsidRDefault="00E57A7E" w:rsidP="00E57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2F5AB6" w14:textId="77777777" w:rsidR="00E57A7E" w:rsidRDefault="00E57A7E" w:rsidP="00E57A7E">
      <w:r>
        <w:separator/>
      </w:r>
    </w:p>
  </w:footnote>
  <w:footnote w:type="continuationSeparator" w:id="0">
    <w:p w14:paraId="5F838946" w14:textId="77777777" w:rsidR="00E57A7E" w:rsidRDefault="00E57A7E" w:rsidP="00E57A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CE9"/>
    <w:rsid w:val="00062DDB"/>
    <w:rsid w:val="000844D8"/>
    <w:rsid w:val="000D4011"/>
    <w:rsid w:val="00117C6A"/>
    <w:rsid w:val="00132CD6"/>
    <w:rsid w:val="00237B6E"/>
    <w:rsid w:val="003B0C74"/>
    <w:rsid w:val="004864FF"/>
    <w:rsid w:val="00494BD0"/>
    <w:rsid w:val="00552323"/>
    <w:rsid w:val="005F1988"/>
    <w:rsid w:val="00704CE9"/>
    <w:rsid w:val="007326CD"/>
    <w:rsid w:val="007C1295"/>
    <w:rsid w:val="0080753B"/>
    <w:rsid w:val="008120E4"/>
    <w:rsid w:val="008A497D"/>
    <w:rsid w:val="00932DAE"/>
    <w:rsid w:val="009A632D"/>
    <w:rsid w:val="00B40E92"/>
    <w:rsid w:val="00B56692"/>
    <w:rsid w:val="00BD3F10"/>
    <w:rsid w:val="00C04145"/>
    <w:rsid w:val="00C64155"/>
    <w:rsid w:val="00D2470F"/>
    <w:rsid w:val="00DA36D7"/>
    <w:rsid w:val="00DE7EC4"/>
    <w:rsid w:val="00E57A7E"/>
    <w:rsid w:val="00EF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C9F9E"/>
  <w15:chartTrackingRefBased/>
  <w15:docId w15:val="{D3730363-B3BA-4D3E-BDB1-007CEEE3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57A7E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57A7E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Refdenotadefim">
    <w:name w:val="endnote reference"/>
    <w:basedOn w:val="Fontepargpadro"/>
    <w:uiPriority w:val="99"/>
    <w:semiHidden/>
    <w:unhideWhenUsed/>
    <w:rsid w:val="00E57A7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132CD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94BD0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pt-BR"/>
    </w:rPr>
  </w:style>
  <w:style w:type="paragraph" w:styleId="Reviso">
    <w:name w:val="Revision"/>
    <w:hidden/>
    <w:uiPriority w:val="99"/>
    <w:semiHidden/>
    <w:rsid w:val="000844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4.xml"/><Relationship Id="rId5" Type="http://schemas.openxmlformats.org/officeDocument/2006/relationships/footnotes" Target="footnotes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A3E9E9-3850-415F-B771-61299BECFC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B8BBA3-9FAE-4A06-BDD1-651EA5CD0DE7}"/>
</file>

<file path=customXml/itemProps3.xml><?xml version="1.0" encoding="utf-8"?>
<ds:datastoreItem xmlns:ds="http://schemas.openxmlformats.org/officeDocument/2006/customXml" ds:itemID="{42681986-73D4-4727-A2A0-F6397B26793E}"/>
</file>

<file path=customXml/itemProps4.xml><?xml version="1.0" encoding="utf-8"?>
<ds:datastoreItem xmlns:ds="http://schemas.openxmlformats.org/officeDocument/2006/customXml" ds:itemID="{8FCCD0F3-2931-49F2-8BAD-275EEB93F0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865</Words>
  <Characters>4677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7</cp:revision>
  <dcterms:created xsi:type="dcterms:W3CDTF">2023-06-26T17:41:00Z</dcterms:created>
  <dcterms:modified xsi:type="dcterms:W3CDTF">2025-03-06T19:45:00Z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315600</vt:r8>
  </property>
</Properties>
</file>