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E35D6" w14:textId="77777777" w:rsidR="00CF69BA" w:rsidRDefault="00EC0960" w:rsidP="00CF69BA">
      <w:pPr>
        <w:pStyle w:val="NormalWeb"/>
        <w:spacing w:after="240" w:line="360" w:lineRule="auto"/>
        <w:jc w:val="both"/>
        <w:rPr>
          <w:b/>
          <w:bCs/>
        </w:rPr>
      </w:pPr>
      <w:r w:rsidRPr="00EC0960">
        <w:rPr>
          <w:b/>
          <w:bCs/>
        </w:rPr>
        <w:t xml:space="preserve">DIREITO PROCESSUAL CIVIL. </w:t>
      </w:r>
      <w:r w:rsidR="00CF69BA">
        <w:rPr>
          <w:b/>
          <w:bCs/>
        </w:rPr>
        <w:t>DECISÃO MONOCRÁTICA. AGRAVO DE INSTRUMENTO. AÇÃO DE BUSCA E APREENSÃO. ALIENAÇÃO FIDUCIÁRIA. DETERMINAÇÃO DE EMENDA DA INICIAL. DESPACHO. NÃO CABIMENTO.</w:t>
      </w:r>
    </w:p>
    <w:p w14:paraId="77AFB555" w14:textId="77777777" w:rsidR="00CF69BA" w:rsidRDefault="00EC0960" w:rsidP="00CF69BA">
      <w:pPr>
        <w:pStyle w:val="NormalWeb"/>
        <w:spacing w:after="240" w:line="360" w:lineRule="auto"/>
        <w:jc w:val="both"/>
        <w:rPr>
          <w:b/>
          <w:bCs/>
        </w:rPr>
      </w:pPr>
      <w:r w:rsidRPr="00EC0960">
        <w:rPr>
          <w:b/>
          <w:bCs/>
        </w:rPr>
        <w:t>I. CASO EM EXAME</w:t>
      </w:r>
    </w:p>
    <w:p w14:paraId="6C276BDF" w14:textId="74767CBD" w:rsidR="00CF69BA" w:rsidRDefault="00EC0960" w:rsidP="00CF69BA">
      <w:pPr>
        <w:pStyle w:val="NormalWeb"/>
        <w:spacing w:after="240" w:line="360" w:lineRule="auto"/>
        <w:jc w:val="both"/>
        <w:rPr>
          <w:b/>
          <w:bCs/>
        </w:rPr>
      </w:pPr>
      <w:r w:rsidRPr="00EC0960">
        <w:rPr>
          <w:b/>
          <w:bCs/>
        </w:rPr>
        <w:t xml:space="preserve">Agravo </w:t>
      </w:r>
      <w:r w:rsidR="00CF69BA">
        <w:rPr>
          <w:b/>
          <w:bCs/>
        </w:rPr>
        <w:t>de instrumento interposto contra ato judicial que determinou a emenda da inicial para comprovação da constituição do devedor fiduciário em mora.</w:t>
      </w:r>
    </w:p>
    <w:p w14:paraId="6D9445FD" w14:textId="77777777" w:rsidR="00EC0960" w:rsidRPr="00EC0960" w:rsidRDefault="00EC0960" w:rsidP="00CF69BA">
      <w:pPr>
        <w:pStyle w:val="NormalWeb"/>
        <w:spacing w:after="240" w:line="360" w:lineRule="auto"/>
        <w:jc w:val="both"/>
        <w:rPr>
          <w:b/>
          <w:bCs/>
        </w:rPr>
      </w:pPr>
      <w:r w:rsidRPr="00EC0960">
        <w:rPr>
          <w:b/>
          <w:bCs/>
        </w:rPr>
        <w:t>II. QUESTÃO EM DISCUSSÃO</w:t>
      </w:r>
    </w:p>
    <w:p w14:paraId="6C4DF57E" w14:textId="5F2FDC38" w:rsidR="00EC0960" w:rsidRPr="00EC0960" w:rsidRDefault="00EC0960" w:rsidP="00CF69BA">
      <w:pPr>
        <w:pStyle w:val="NormalWeb"/>
        <w:spacing w:after="240" w:line="360" w:lineRule="auto"/>
        <w:jc w:val="both"/>
        <w:rPr>
          <w:b/>
          <w:bCs/>
        </w:rPr>
      </w:pPr>
      <w:r w:rsidRPr="00EC0960">
        <w:rPr>
          <w:b/>
          <w:bCs/>
        </w:rPr>
        <w:t>Avaliação</w:t>
      </w:r>
      <w:r w:rsidR="00CF69BA">
        <w:rPr>
          <w:b/>
          <w:bCs/>
        </w:rPr>
        <w:t>, em juízo de admissibilidade recursal, da natureza jurídica do pronunciamento judiciário que determina a emenda da inicial para melhor instrução do feito e o cabimento do agravado de instrumento como meio impugnativo respectivo.</w:t>
      </w:r>
    </w:p>
    <w:p w14:paraId="4A0870F2" w14:textId="77777777" w:rsidR="00E250F2" w:rsidRPr="00E250F2" w:rsidRDefault="00EC0960" w:rsidP="00CF69BA">
      <w:pPr>
        <w:pStyle w:val="NormalWeb"/>
        <w:spacing w:after="240" w:line="360" w:lineRule="auto"/>
        <w:jc w:val="both"/>
        <w:rPr>
          <w:b/>
          <w:bCs/>
        </w:rPr>
      </w:pPr>
      <w:r w:rsidRPr="00E250F2">
        <w:rPr>
          <w:b/>
          <w:bCs/>
        </w:rPr>
        <w:t>III. RAZÕES DE DECIDIR</w:t>
      </w:r>
    </w:p>
    <w:p w14:paraId="2D0E04AE" w14:textId="636F9087" w:rsidR="00EC0960" w:rsidRPr="00E250F2" w:rsidRDefault="00EC0960" w:rsidP="00CF69BA">
      <w:pPr>
        <w:pStyle w:val="NormalWeb"/>
        <w:spacing w:after="240" w:line="360" w:lineRule="auto"/>
        <w:jc w:val="both"/>
        <w:rPr>
          <w:b/>
          <w:bCs/>
        </w:rPr>
      </w:pPr>
      <w:r w:rsidRPr="00E250F2">
        <w:rPr>
          <w:b/>
          <w:bCs/>
        </w:rPr>
        <w:t>A determinação de emenda à petição inicial para comprovação da mora do devedor fiduciário constitui despacho de mero expediente e não se encontra listada no rol de cabimento do agravo de instrumento, previsto no artigo 1.015 do Código de Processo Civil.</w:t>
      </w:r>
    </w:p>
    <w:p w14:paraId="134E4D98" w14:textId="77777777" w:rsidR="00EC0960" w:rsidRPr="00E250F2" w:rsidRDefault="00EC0960" w:rsidP="00CF69BA">
      <w:pPr>
        <w:pStyle w:val="NormalWeb"/>
        <w:spacing w:after="240" w:line="360" w:lineRule="auto"/>
        <w:jc w:val="both"/>
        <w:rPr>
          <w:b/>
          <w:bCs/>
        </w:rPr>
      </w:pPr>
      <w:r w:rsidRPr="00E250F2">
        <w:rPr>
          <w:b/>
          <w:bCs/>
        </w:rPr>
        <w:t>IV. SOLUÇÃO DO CASO</w:t>
      </w:r>
    </w:p>
    <w:p w14:paraId="3E037113" w14:textId="4888B709" w:rsidR="00EC0960" w:rsidRPr="00E250F2" w:rsidRDefault="00EC0960" w:rsidP="00CF69BA">
      <w:pPr>
        <w:pStyle w:val="NormalWeb"/>
        <w:spacing w:after="240" w:line="360" w:lineRule="auto"/>
        <w:jc w:val="both"/>
        <w:rPr>
          <w:b/>
          <w:bCs/>
        </w:rPr>
      </w:pPr>
      <w:r w:rsidRPr="00E250F2">
        <w:rPr>
          <w:b/>
          <w:bCs/>
        </w:rPr>
        <w:t>Recurso não conhecido.</w:t>
      </w:r>
    </w:p>
    <w:p w14:paraId="2515A9DD" w14:textId="77777777" w:rsidR="00EC0960" w:rsidRPr="00E250F2" w:rsidRDefault="00EC0960" w:rsidP="00CF69BA">
      <w:pPr>
        <w:pStyle w:val="NormalWeb"/>
        <w:spacing w:after="240" w:line="360" w:lineRule="auto"/>
        <w:jc w:val="both"/>
        <w:rPr>
          <w:b/>
          <w:bCs/>
        </w:rPr>
      </w:pPr>
      <w:r w:rsidRPr="00E250F2">
        <w:rPr>
          <w:b/>
          <w:bCs/>
        </w:rPr>
        <w:t>V. JURISPRUDÊNCIA E LEGISLAÇÃO UTILIZADAS</w:t>
      </w:r>
    </w:p>
    <w:p w14:paraId="748C50BC" w14:textId="5A1449FE" w:rsidR="00EC0960" w:rsidRPr="00CF69BA" w:rsidRDefault="00EC0960" w:rsidP="00CF69BA">
      <w:pPr>
        <w:pStyle w:val="NormalWeb"/>
        <w:spacing w:after="240" w:line="360" w:lineRule="auto"/>
        <w:jc w:val="both"/>
        <w:rPr>
          <w:b/>
          <w:bCs/>
        </w:rPr>
      </w:pPr>
      <w:r w:rsidRPr="00CF69BA">
        <w:rPr>
          <w:b/>
          <w:bCs/>
        </w:rPr>
        <w:t xml:space="preserve">Jurisprudência: </w:t>
      </w:r>
      <w:proofErr w:type="spellStart"/>
      <w:r w:rsidRPr="00CF69BA">
        <w:rPr>
          <w:b/>
          <w:bCs/>
        </w:rPr>
        <w:t>TJPR</w:t>
      </w:r>
      <w:proofErr w:type="spellEnd"/>
      <w:r w:rsidRPr="00CF69BA">
        <w:rPr>
          <w:b/>
          <w:bCs/>
        </w:rPr>
        <w:t xml:space="preserve">. 19ª Câmara Cível. Relator: Desembargador </w:t>
      </w:r>
      <w:proofErr w:type="spellStart"/>
      <w:r w:rsidRPr="00CF69BA">
        <w:rPr>
          <w:b/>
          <w:bCs/>
        </w:rPr>
        <w:t>Rotolli</w:t>
      </w:r>
      <w:proofErr w:type="spellEnd"/>
      <w:r w:rsidRPr="00CF69BA">
        <w:rPr>
          <w:b/>
          <w:bCs/>
        </w:rPr>
        <w:t xml:space="preserve"> de Macedo. Agravo de instrumento. 0031044-16.2023.8.16.0000. Curitiba. Data de julgamento: 18-05-2023; </w:t>
      </w:r>
      <w:proofErr w:type="spellStart"/>
      <w:r w:rsidRPr="00CF69BA">
        <w:rPr>
          <w:b/>
          <w:bCs/>
        </w:rPr>
        <w:t>TJPR</w:t>
      </w:r>
      <w:proofErr w:type="spellEnd"/>
      <w:r w:rsidRPr="00CF69BA">
        <w:rPr>
          <w:b/>
          <w:bCs/>
        </w:rPr>
        <w:t>. 20ª Câmara Cível. Relator: Desembargador Francisco Carlos Jorge. Agravo de instrumento. 0014455-12.2024.8.16.0000. Paranaguá. Data de julgamento: 17-05-2024.</w:t>
      </w:r>
    </w:p>
    <w:p w14:paraId="6D4287A1" w14:textId="30E899C5" w:rsidR="00EC0960" w:rsidRDefault="00EC0960" w:rsidP="00CF69BA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r w:rsidRPr="00EC0960">
        <w:rPr>
          <w:b/>
          <w:bCs/>
        </w:rPr>
        <w:t xml:space="preserve">Legislação: </w:t>
      </w:r>
      <w:r w:rsidR="00CF69BA">
        <w:rPr>
          <w:b/>
          <w:bCs/>
        </w:rPr>
        <w:t>artigo 932, artigo 1.001 e artigo 1.015 do Código de Processo Civil; artigo 182 do Regimento Interno do Tribunal de Justiça do Estado do Paraná.</w:t>
      </w:r>
    </w:p>
    <w:p w14:paraId="1AA1332C" w14:textId="77777777" w:rsidR="00EC0960" w:rsidRDefault="00EC0960" w:rsidP="00903197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</w:p>
    <w:p w14:paraId="557401D3" w14:textId="2C5A2DF1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 - RELATÓRIO</w:t>
      </w:r>
    </w:p>
    <w:p w14:paraId="2C00A538" w14:textId="77777777" w:rsidR="00EC0960" w:rsidRDefault="000F3022" w:rsidP="00EC0960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Cuida-se de agravo de instrumento interposto </w:t>
      </w:r>
      <w:r w:rsidR="00560E31">
        <w:t xml:space="preserve">Banco Honda S. A. em face de Gilmar </w:t>
      </w:r>
      <w:proofErr w:type="spellStart"/>
      <w:r w:rsidR="00560E31">
        <w:t>Barczak</w:t>
      </w:r>
      <w:proofErr w:type="spellEnd"/>
      <w:r w:rsidR="00560E31">
        <w:t xml:space="preserve">, tendo como objeto </w:t>
      </w:r>
      <w:r w:rsidR="00EC0960">
        <w:t>pronunciamento judicial que determinou a intimação da parte autora para emendar a inicial, a fim de comprovar a constituição em mora do devedor fiduciário (</w:t>
      </w:r>
      <w:r w:rsidR="00EC0960" w:rsidRPr="00AA0FC0">
        <w:t xml:space="preserve">evento </w:t>
      </w:r>
      <w:r w:rsidR="00EC0960">
        <w:t>17.1 – autos de origem).</w:t>
      </w:r>
    </w:p>
    <w:p w14:paraId="38ED7FC9" w14:textId="6FEC33E2" w:rsidR="00EC0960" w:rsidRDefault="00EC0960" w:rsidP="00EC0960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Em razões recursais, sustenta a recorrente, em síntese, que o envio da notificação extrajudicial para o endereço contratual é suficiente para comprovação da mora (evento 1.1).</w:t>
      </w:r>
    </w:p>
    <w:p w14:paraId="61742395" w14:textId="5706CAA4" w:rsidR="000F3022" w:rsidRPr="00903197" w:rsidRDefault="000F3022" w:rsidP="00560E31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É o necessário relato.</w:t>
      </w:r>
    </w:p>
    <w:p w14:paraId="3F85F381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302FB60C" w14:textId="77777777" w:rsidR="00560E31" w:rsidRDefault="0077042A" w:rsidP="00560E31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  <w:r w:rsidRPr="00903197">
        <w:rPr>
          <w:b/>
          <w:bCs/>
        </w:rPr>
        <w:t>II – FUNDAMENTAÇÃO</w:t>
      </w:r>
    </w:p>
    <w:p w14:paraId="144692D1" w14:textId="77777777" w:rsidR="00560E31" w:rsidRDefault="00560E31" w:rsidP="00560E31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AD3DA3">
        <w:t xml:space="preserve">O </w:t>
      </w:r>
      <w:r>
        <w:t>Código de Processo Civil restringiu o cabimento do agravo de instrumento às hipóteses previstas no rol elencado no artigo 1.015 e destacou, no respectivo artigo 1.001, que os despachos não são impugnáveis pelo referido recurso.</w:t>
      </w:r>
    </w:p>
    <w:p w14:paraId="36A26789" w14:textId="77777777" w:rsidR="00560E31" w:rsidRDefault="00560E31" w:rsidP="00560E31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87B34">
        <w:t>O pronunciamento judicial que determina a emenda da petição inicial, pa</w:t>
      </w:r>
      <w:r>
        <w:t xml:space="preserve">ra melhor </w:t>
      </w:r>
      <w:r w:rsidRPr="00987B34">
        <w:t>instrução da alegada mora, configura despacho de mero expediente, poi</w:t>
      </w:r>
      <w:r>
        <w:t xml:space="preserve">s se limita a emitir comando de </w:t>
      </w:r>
      <w:r w:rsidRPr="00987B34">
        <w:t>adequação formal da pretensão deduzida em juízo.</w:t>
      </w:r>
    </w:p>
    <w:p w14:paraId="3CF0B31D" w14:textId="77777777" w:rsidR="00560E31" w:rsidRDefault="00560E31" w:rsidP="00560E31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87B34">
        <w:t>Ainda que, no caso em concreto, haja breve incursão s</w:t>
      </w:r>
      <w:r>
        <w:t xml:space="preserve">obre a qualidade da notificação </w:t>
      </w:r>
      <w:r w:rsidRPr="00987B34">
        <w:t>extrajudicial, a matéria avent</w:t>
      </w:r>
      <w:r>
        <w:t xml:space="preserve">ada não viabiliza a inserção do </w:t>
      </w:r>
      <w:r w:rsidRPr="00987B34">
        <w:t>pronunciamento no rol de cabimento do agravo de instr</w:t>
      </w:r>
      <w:r>
        <w:t xml:space="preserve">umento, constatação que assenta </w:t>
      </w:r>
      <w:r w:rsidRPr="00987B34">
        <w:t>o descabimento do meio recursal.</w:t>
      </w:r>
    </w:p>
    <w:p w14:paraId="6C433705" w14:textId="77777777" w:rsidR="00560E31" w:rsidRDefault="00560E31" w:rsidP="00560E31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87B34">
        <w:t>Não obstante, o Superior Tribunal de Justiça sedimento</w:t>
      </w:r>
      <w:r>
        <w:t xml:space="preserve">u o entendimento, no julgamento </w:t>
      </w:r>
      <w:r w:rsidRPr="00987B34">
        <w:t>dos Recursos Especiais nº 1.696.396/MT e 1.704.520/MT, de que a taxativ</w:t>
      </w:r>
      <w:r>
        <w:t xml:space="preserve">idade prevista no art. 1.015 do </w:t>
      </w:r>
      <w:r w:rsidRPr="00987B34">
        <w:t>Código de Processo Civil admite mitigação nas hipóteses em que se v</w:t>
      </w:r>
      <w:r>
        <w:t xml:space="preserve">erifique urgência decorrente da </w:t>
      </w:r>
      <w:r w:rsidRPr="00987B34">
        <w:t>inutilidade do julgamento da questão no recurso de apelação.</w:t>
      </w:r>
    </w:p>
    <w:p w14:paraId="6F0BABD5" w14:textId="77777777" w:rsidR="00560E31" w:rsidRDefault="00560E31" w:rsidP="00560E31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87B34">
        <w:t xml:space="preserve">Contudo, </w:t>
      </w:r>
      <w:proofErr w:type="spellStart"/>
      <w:r w:rsidRPr="00987B34">
        <w:t>tal</w:t>
      </w:r>
      <w:proofErr w:type="spellEnd"/>
      <w:r w:rsidRPr="00987B34">
        <w:t xml:space="preserve"> não sucede no caso concreto, pois não há p</w:t>
      </w:r>
      <w:r>
        <w:t xml:space="preserve">rejuízo ou urgência aferível no </w:t>
      </w:r>
      <w:r w:rsidRPr="00987B34">
        <w:t xml:space="preserve">caso, </w:t>
      </w:r>
      <w:r>
        <w:t xml:space="preserve">em decorrência da falta de conteúdo decisório do ato judicial impugnado, </w:t>
      </w:r>
      <w:r w:rsidRPr="00987B34">
        <w:t>de forma que eventual insurgência poderá ser arguida em sede de preliminar em apelação.</w:t>
      </w:r>
    </w:p>
    <w:p w14:paraId="0AF45591" w14:textId="77777777" w:rsidR="00EC0960" w:rsidRDefault="00560E31" w:rsidP="00EC0960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Sobre o tema:</w:t>
      </w:r>
    </w:p>
    <w:p w14:paraId="745B965E" w14:textId="77777777" w:rsidR="00EC0960" w:rsidRDefault="00EC0960" w:rsidP="00EC0960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14450066" w14:textId="6CCDA41E" w:rsidR="00EC0960" w:rsidRDefault="00560E31" w:rsidP="00EC0960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606BE3">
        <w:rPr>
          <w:sz w:val="20"/>
          <w:szCs w:val="20"/>
        </w:rPr>
        <w:t xml:space="preserve">RECURSO DE AGRAVO DE INSTRUMENTO. AÇÃO DE BUSCA E APREENSÃO. DETERMINADA A EMENDA DA INICIAL PARA COMPROVAÇÃO DA CONSTITUIÇÃO EM MORA DO DEVEDOR. DESPACHO DE MERO EXPEDIENTE. </w:t>
      </w:r>
      <w:r w:rsidRPr="00606BE3">
        <w:rPr>
          <w:b/>
          <w:sz w:val="20"/>
          <w:szCs w:val="20"/>
        </w:rPr>
        <w:t>AUSÊNCIA DE CONTEÚDO DECISÓRIO. PRESSUPOSTO INTRÍNSECO DE ADMISSIBILIDADE</w:t>
      </w:r>
      <w:r w:rsidRPr="00606BE3">
        <w:rPr>
          <w:sz w:val="20"/>
          <w:szCs w:val="20"/>
        </w:rPr>
        <w:t xml:space="preserve"> NÃO RESTOU PREENCHIDO. APLICABILIDADE DO ARTIGO 932, INCISO III, DO CÓDIGO DE PROCESSO CIVIL. RECURSO NÃO CONHECIDO. (</w:t>
      </w:r>
      <w:proofErr w:type="spellStart"/>
      <w:r w:rsidRPr="00606BE3">
        <w:rPr>
          <w:sz w:val="20"/>
          <w:szCs w:val="20"/>
        </w:rPr>
        <w:t>TJPR</w:t>
      </w:r>
      <w:proofErr w:type="spellEnd"/>
      <w:r w:rsidR="00EC0960">
        <w:rPr>
          <w:sz w:val="20"/>
          <w:szCs w:val="20"/>
        </w:rPr>
        <w:t xml:space="preserve">. 19ª Câmara Cível. Relator: Desembargador </w:t>
      </w:r>
      <w:proofErr w:type="spellStart"/>
      <w:r w:rsidR="00EC0960">
        <w:rPr>
          <w:sz w:val="20"/>
          <w:szCs w:val="20"/>
        </w:rPr>
        <w:t>Rotolli</w:t>
      </w:r>
      <w:proofErr w:type="spellEnd"/>
      <w:r w:rsidR="00EC0960">
        <w:rPr>
          <w:sz w:val="20"/>
          <w:szCs w:val="20"/>
        </w:rPr>
        <w:t xml:space="preserve"> de Macedo. Agravo de instrumento. </w:t>
      </w:r>
      <w:r w:rsidRPr="00606BE3">
        <w:rPr>
          <w:sz w:val="20"/>
          <w:szCs w:val="20"/>
        </w:rPr>
        <w:t>0031044-16.2023.8.16.0000</w:t>
      </w:r>
      <w:r w:rsidR="00EC0960">
        <w:rPr>
          <w:sz w:val="20"/>
          <w:szCs w:val="20"/>
        </w:rPr>
        <w:t>. Curitiba. Data de julgamento: 18-05-2023).</w:t>
      </w:r>
    </w:p>
    <w:p w14:paraId="5994B834" w14:textId="77777777" w:rsidR="00EC0960" w:rsidRDefault="00EC0960" w:rsidP="00EC0960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</w:p>
    <w:p w14:paraId="496BC97F" w14:textId="0B4593FA" w:rsidR="00EC0960" w:rsidRDefault="00560E31" w:rsidP="00EC0960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606BE3">
        <w:rPr>
          <w:sz w:val="20"/>
          <w:szCs w:val="20"/>
        </w:rPr>
        <w:t>PROCESSO PROCESSUAL CIVIL. AGRAVO INTERNO EM AGRAVO DE INSTRUMENTO. AÇÃO DE BUSCA E APREENSÃO. BEM ALIENADO EM GARANTIA FIDUCIÁRIA. AUSÊNCIA DE CITAÇÃO. DESNECESSIDADE DE INTIMAÇÃO PARA CONTRARRAZÕES. NOTIFICAÇÃO. DEVOLUÇÃO COM ANOTAÇÃO DE “NÃO EXISTE O NÚMERO”. DETERMINAÇÃO DE EMENDA DA INICIAL PARA COMPROVAÇÃO DA REGULAR CONSTITUIÇÃO DO DEVEDOR EM MORA. ATO INSUSCETÍVEL DE IMPUGNAÇÃO POR AGRAVO DE INSTRUMENTO (ART. 1.015/CPC). RECURSO NÃO CONHECIDO PELO RELATOR. DECISÃO MANTIDA. NEGATIVA DE PROVIMENTO.</w:t>
      </w:r>
      <w:r w:rsidR="00EC0960">
        <w:rPr>
          <w:sz w:val="20"/>
          <w:szCs w:val="20"/>
        </w:rPr>
        <w:t xml:space="preserve"> </w:t>
      </w:r>
      <w:r w:rsidRPr="00606BE3">
        <w:rPr>
          <w:sz w:val="20"/>
          <w:szCs w:val="20"/>
        </w:rPr>
        <w:t xml:space="preserve">1. </w:t>
      </w:r>
      <w:r w:rsidRPr="00606BE3">
        <w:rPr>
          <w:b/>
          <w:sz w:val="20"/>
          <w:szCs w:val="20"/>
        </w:rPr>
        <w:t>Deve ser mantida pelo Colegiado, em sede de agravo interno, a decisão monocrática do relator que não conhece do agravo de instrumento interposto por inadmissibilidade do recurso, onde se questiona a determinação de emenda à petição inicial para demonstrar a regular constituição em mora do devedor, dada a devolução da notificação extrajudicial encaminhada ao endereço do mutuário com anotação de que “não existe o número” do imóvel indicado, por não se tratar de matéria elencada no rol taxativo do art. 1.015/CPC, por não se tratar de ato judicial com conteúdo decisório passível de impugnação recursal</w:t>
      </w:r>
      <w:r w:rsidRPr="00606BE3">
        <w:rPr>
          <w:sz w:val="20"/>
          <w:szCs w:val="20"/>
        </w:rPr>
        <w:t>.</w:t>
      </w:r>
      <w:r w:rsidR="00EC0960">
        <w:rPr>
          <w:sz w:val="20"/>
          <w:szCs w:val="20"/>
        </w:rPr>
        <w:t xml:space="preserve"> </w:t>
      </w:r>
      <w:r w:rsidRPr="00606BE3">
        <w:rPr>
          <w:sz w:val="20"/>
          <w:szCs w:val="20"/>
        </w:rPr>
        <w:t>2. Agravo Interno à que se nega provimento. (</w:t>
      </w:r>
      <w:proofErr w:type="spellStart"/>
      <w:r w:rsidRPr="00606BE3">
        <w:rPr>
          <w:sz w:val="20"/>
          <w:szCs w:val="20"/>
        </w:rPr>
        <w:t>TJPR</w:t>
      </w:r>
      <w:proofErr w:type="spellEnd"/>
      <w:r w:rsidR="00EC0960">
        <w:rPr>
          <w:sz w:val="20"/>
          <w:szCs w:val="20"/>
        </w:rPr>
        <w:t>. 20ª Câmara Cível. Relator: Desembargador Francisco Carlos Jorge. Agravo de instrumento.</w:t>
      </w:r>
      <w:r w:rsidRPr="00606BE3">
        <w:rPr>
          <w:sz w:val="20"/>
          <w:szCs w:val="20"/>
        </w:rPr>
        <w:t xml:space="preserve"> 0014455-12.2024.8.16.0000</w:t>
      </w:r>
      <w:r w:rsidR="00EC0960">
        <w:rPr>
          <w:sz w:val="20"/>
          <w:szCs w:val="20"/>
        </w:rPr>
        <w:t>. Paranaguá. Data de julgamento: 17-05-2024).</w:t>
      </w:r>
    </w:p>
    <w:p w14:paraId="53E2B4B3" w14:textId="77777777" w:rsidR="00EC0960" w:rsidRDefault="00EC0960" w:rsidP="00EC0960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2E66E8D3" w14:textId="074A992B" w:rsidR="00EC0960" w:rsidRDefault="00560E31" w:rsidP="00EC0960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606BE3">
        <w:t>Portanto, não é cabível o recurso interposto como meio de impugna</w:t>
      </w:r>
      <w:r>
        <w:t>ção do ato judicial hostilizado</w:t>
      </w:r>
      <w:r w:rsidRPr="00606BE3">
        <w:t>.</w:t>
      </w:r>
    </w:p>
    <w:p w14:paraId="3E85A312" w14:textId="77777777" w:rsidR="00EC0960" w:rsidRDefault="00EC0960" w:rsidP="00EC0960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</w:rPr>
      </w:pPr>
    </w:p>
    <w:p w14:paraId="4BBB0990" w14:textId="3BF4EF1B" w:rsidR="00EC0960" w:rsidRDefault="00560E31" w:rsidP="00EC0960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</w:rPr>
      </w:pPr>
      <w:r w:rsidRPr="00606BE3">
        <w:rPr>
          <w:b/>
        </w:rPr>
        <w:t>III – DECISÃ</w:t>
      </w:r>
      <w:r w:rsidR="00EC0960">
        <w:rPr>
          <w:b/>
        </w:rPr>
        <w:t>O</w:t>
      </w:r>
    </w:p>
    <w:p w14:paraId="7BF918BF" w14:textId="398095C8" w:rsidR="00EC0960" w:rsidRDefault="00560E31" w:rsidP="00EC0960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Ante o exposto, com fulcro no art</w:t>
      </w:r>
      <w:r w:rsidR="00EC0960">
        <w:t>igo</w:t>
      </w:r>
      <w:r>
        <w:t xml:space="preserve"> 932, inciso III, do C</w:t>
      </w:r>
      <w:r w:rsidR="00EC0960">
        <w:t>ódigo de Processo Civil e no artigo e</w:t>
      </w:r>
      <w:r>
        <w:t xml:space="preserve"> no art</w:t>
      </w:r>
      <w:r w:rsidR="00EC0960">
        <w:t>igo</w:t>
      </w:r>
      <w:r>
        <w:t xml:space="preserve"> 182, inciso XIX, do Regimento Interno do Tribunal de Justiça do Estado do Paraná, não se conhece do recurso.</w:t>
      </w:r>
    </w:p>
    <w:p w14:paraId="342B5CA0" w14:textId="77777777" w:rsidR="00EC0960" w:rsidRDefault="00560E31" w:rsidP="00EC0960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Publique-se e intimem-se.</w:t>
      </w:r>
    </w:p>
    <w:p w14:paraId="57E527C7" w14:textId="77777777" w:rsidR="00EC0960" w:rsidRDefault="00560E31" w:rsidP="00EC0960">
      <w:pPr>
        <w:pStyle w:val="NormalWeb"/>
        <w:spacing w:before="0" w:beforeAutospacing="0" w:after="240" w:afterAutospacing="0" w:line="360" w:lineRule="auto"/>
        <w:ind w:firstLine="709"/>
        <w:jc w:val="both"/>
        <w:rPr>
          <w:i/>
        </w:rPr>
      </w:pPr>
      <w:r>
        <w:t xml:space="preserve">Comunique-se o juízo </w:t>
      </w:r>
      <w:r w:rsidRPr="00606BE3">
        <w:rPr>
          <w:i/>
        </w:rPr>
        <w:t>a quo.</w:t>
      </w:r>
    </w:p>
    <w:p w14:paraId="21CD7489" w14:textId="73DFA6A6" w:rsidR="00DA36D7" w:rsidRPr="00903197" w:rsidRDefault="00560E31" w:rsidP="00EC0960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Oportunamente, arquivem-se.</w:t>
      </w:r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958C3"/>
    <w:rsid w:val="000F3022"/>
    <w:rsid w:val="00243ADD"/>
    <w:rsid w:val="0029734D"/>
    <w:rsid w:val="002A7FA2"/>
    <w:rsid w:val="00560E31"/>
    <w:rsid w:val="006878E9"/>
    <w:rsid w:val="006E73AD"/>
    <w:rsid w:val="00704CE9"/>
    <w:rsid w:val="00733889"/>
    <w:rsid w:val="0077042A"/>
    <w:rsid w:val="00903197"/>
    <w:rsid w:val="00BD3F10"/>
    <w:rsid w:val="00C957C8"/>
    <w:rsid w:val="00CF69BA"/>
    <w:rsid w:val="00D72BA8"/>
    <w:rsid w:val="00DA36D7"/>
    <w:rsid w:val="00E250F2"/>
    <w:rsid w:val="00E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D018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B2D291-E518-4C6A-B394-FD020B558139}"/>
</file>

<file path=customXml/itemProps2.xml><?xml version="1.0" encoding="utf-8"?>
<ds:datastoreItem xmlns:ds="http://schemas.openxmlformats.org/officeDocument/2006/customXml" ds:itemID="{52DB2EC1-2D1E-434C-8DD8-9D21044800C4}"/>
</file>

<file path=customXml/itemProps3.xml><?xml version="1.0" encoding="utf-8"?>
<ds:datastoreItem xmlns:ds="http://schemas.openxmlformats.org/officeDocument/2006/customXml" ds:itemID="{D64291EA-B932-4AEF-AF85-275331A3F4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7</cp:revision>
  <dcterms:created xsi:type="dcterms:W3CDTF">2023-10-16T20:56:00Z</dcterms:created>
  <dcterms:modified xsi:type="dcterms:W3CDTF">2024-11-22T15:37:00Z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316400</vt:r8>
  </property>
</Properties>
</file>